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F706DD">
        <w:tblPrEx>
          <w:tblCellMar>
            <w:top w:w="0" w:type="dxa"/>
            <w:bottom w:w="0" w:type="dxa"/>
          </w:tblCellMar>
        </w:tblPrEx>
        <w:tc>
          <w:tcPr>
            <w:tcW w:w="9506" w:type="dxa"/>
            <w:tcBorders>
              <w:top w:val="single" w:sz="1" w:space="0" w:color="CCCCCC"/>
              <w:left w:val="single" w:sz="1" w:space="0" w:color="CCCCCC"/>
              <w:bottom w:val="single" w:sz="1" w:space="0" w:color="CCCCCC"/>
              <w:right w:val="single" w:sz="1" w:space="0" w:color="CCCCCC"/>
            </w:tcBorders>
            <w:shd w:val="clear" w:color="auto" w:fill="0B7B8B"/>
            <w:tcMar>
              <w:top w:w="400" w:type="dxa"/>
              <w:left w:w="400" w:type="dxa"/>
              <w:bottom w:w="400" w:type="dxa"/>
              <w:right w:w="400" w:type="dxa"/>
            </w:tcMar>
          </w:tcPr>
          <w:p w:rsidR="00F706DD" w:rsidRDefault="00000000">
            <w:pPr>
              <w:spacing w:after="120"/>
              <w:jc w:val="center"/>
            </w:pPr>
            <w:r>
              <w:rPr>
                <w:color w:val="FFFFFF"/>
                <w:sz w:val="20"/>
                <w:szCs w:val="20"/>
              </w:rPr>
              <w:t>EGE ÜROJİNEKOLOJİ WORKSHOP</w:t>
            </w:r>
          </w:p>
          <w:p w:rsidR="00F706DD" w:rsidRDefault="00000000">
            <w:pPr>
              <w:spacing w:after="200"/>
              <w:jc w:val="center"/>
            </w:pPr>
            <w:r>
              <w:rPr>
                <w:color w:val="CCEEEE"/>
                <w:sz w:val="20"/>
                <w:szCs w:val="20"/>
              </w:rPr>
              <w:t>Klinik Yazı</w:t>
            </w:r>
          </w:p>
          <w:p w:rsidR="00F706DD" w:rsidRDefault="00000000">
            <w:pPr>
              <w:spacing w:after="160"/>
              <w:jc w:val="center"/>
            </w:pPr>
            <w:r>
              <w:rPr>
                <w:b/>
                <w:bCs/>
                <w:color w:val="FFFFFF"/>
                <w:sz w:val="44"/>
                <w:szCs w:val="44"/>
              </w:rPr>
              <w:t>ÜRİNER İNKONTİNANS</w:t>
            </w:r>
          </w:p>
          <w:p w:rsidR="00F706DD" w:rsidRDefault="00000000">
            <w:pPr>
              <w:jc w:val="center"/>
            </w:pPr>
            <w:r>
              <w:rPr>
                <w:color w:val="DDEEFF"/>
                <w:sz w:val="26"/>
                <w:szCs w:val="26"/>
              </w:rPr>
              <w:t>Tanı ve Tedavide Güncel Yaklaşımlar</w:t>
            </w:r>
          </w:p>
        </w:tc>
      </w:tr>
    </w:tbl>
    <w:p w:rsidR="00F706DD" w:rsidRDefault="00F706DD">
      <w:pPr>
        <w:spacing w:before="80" w:after="80"/>
      </w:pPr>
    </w:p>
    <w:p w:rsidR="00F706DD" w:rsidRDefault="00000000">
      <w:pPr>
        <w:pStyle w:val="Heading1"/>
        <w:pBdr>
          <w:bottom w:val="single" w:sz="6" w:space="6" w:color="0B7B8B"/>
        </w:pBdr>
      </w:pPr>
      <w:r>
        <w:t>Giriş</w:t>
      </w:r>
    </w:p>
    <w:p w:rsidR="00F706DD" w:rsidRDefault="00000000">
      <w:pPr>
        <w:spacing w:before="80" w:after="80" w:line="320" w:lineRule="auto"/>
        <w:jc w:val="both"/>
      </w:pPr>
      <w:r>
        <w:rPr>
          <w:color w:val="333333"/>
        </w:rPr>
        <w:t>Üriner inkontinans (Üİ), istemsiz idrar kaçırma olarak tanımlanan ve kadınların yaklaşık %30–40'ını etkileyen yaygın ancak yetersiz tanınan ve tedavi edilen bir ürojinekolojik durumdur. Yaşam kalitesini, sosyal işlevselliği ve ruhsal sağlığı ciddi ölçüde etkileyen bu tablonun erken tanınması ve multidisipliner yönetimi kritik önem taşımaktadır.</w:t>
      </w:r>
    </w:p>
    <w:p w:rsidR="00F706DD" w:rsidRDefault="00000000">
      <w:pPr>
        <w:spacing w:before="80" w:after="80" w:line="320" w:lineRule="auto"/>
        <w:jc w:val="both"/>
      </w:pPr>
      <w:r>
        <w:rPr>
          <w:color w:val="333333"/>
        </w:rPr>
        <w:t>Bu yazı; üriner inkontinansın epidemiyolojisini, güncel sınıflandırma sistemini, tanısal algoritmaları ve kanıta dayalı tedavi seçeneklerini uzman hekim perspektifinden ele almaktadır. Ege Ürojinekoloji Workshop eğitim programının bir parçası olarak hazırlanmıştır.</w:t>
      </w:r>
    </w:p>
    <w:p w:rsidR="00F706DD" w:rsidRDefault="00F706DD">
      <w:pPr>
        <w:spacing w:before="80" w:after="80"/>
      </w:pPr>
    </w:p>
    <w:p w:rsidR="00F706DD" w:rsidRDefault="00000000">
      <w:pPr>
        <w:pStyle w:val="Heading1"/>
        <w:pBdr>
          <w:bottom w:val="single" w:sz="6" w:space="6" w:color="0B7B8B"/>
        </w:pBdr>
      </w:pPr>
      <w:r>
        <w:t>Epidemiyoloji ve Klinik Önem</w:t>
      </w:r>
    </w:p>
    <w:p w:rsidR="00F706DD" w:rsidRDefault="00000000">
      <w:pPr>
        <w:spacing w:before="80" w:after="80" w:line="320" w:lineRule="auto"/>
        <w:jc w:val="both"/>
      </w:pPr>
      <w:r>
        <w:rPr>
          <w:color w:val="333333"/>
        </w:rPr>
        <w:t>Türkiye'de yapılan prevalans çalışmaları, 20 yaş üzeri kadınlarda Üİ sıklığını %24–42 arasında bildirmektedir. Buna karşın hastaların yalnızca %25–30'u sağlık kurumuna başvurmakta; utanma, bilgi eksikliği ve belirtilerin yaşlanmanın doğal bir sonucu olarak algılanması başvuruyu geciktiren başlıca faktörler arasında yer almaktadır.</w:t>
      </w:r>
    </w:p>
    <w:p w:rsidR="00F706DD" w:rsidRDefault="00F706D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6D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F706DD" w:rsidRDefault="00000000">
            <w:pPr>
              <w:spacing w:after="80"/>
            </w:pPr>
            <w:r>
              <w:rPr>
                <w:b/>
                <w:bCs/>
                <w:color w:val="0B7B8B"/>
              </w:rPr>
              <w:t>Epidemiyolojik Veriler</w:t>
            </w:r>
          </w:p>
          <w:p w:rsidR="00F706DD" w:rsidRDefault="00000000">
            <w:pPr>
              <w:spacing w:before="40" w:after="40"/>
            </w:pPr>
            <w:r>
              <w:rPr>
                <w:color w:val="333333"/>
                <w:sz w:val="20"/>
                <w:szCs w:val="20"/>
              </w:rPr>
              <w:t>• Dünyada 200 milyondan fazla bireyi etkileyen bir halk sağlığı sorunu</w:t>
            </w:r>
          </w:p>
          <w:p w:rsidR="00F706DD" w:rsidRDefault="00000000">
            <w:pPr>
              <w:spacing w:before="40" w:after="40"/>
            </w:pPr>
            <w:r>
              <w:rPr>
                <w:color w:val="333333"/>
                <w:sz w:val="20"/>
                <w:szCs w:val="20"/>
              </w:rPr>
              <w:t>• 50 yaş üzeri kadınlarda prevalans %50'ye ulaşmaktadır</w:t>
            </w:r>
          </w:p>
          <w:p w:rsidR="00F706DD" w:rsidRDefault="00000000">
            <w:pPr>
              <w:spacing w:before="40" w:after="40"/>
            </w:pPr>
            <w:r>
              <w:rPr>
                <w:color w:val="333333"/>
                <w:sz w:val="20"/>
                <w:szCs w:val="20"/>
              </w:rPr>
              <w:t>• Doğum, obezite, menopoz ve pelvik cerrahi major risk faktörleridir</w:t>
            </w:r>
          </w:p>
          <w:p w:rsidR="00F706DD" w:rsidRDefault="00000000">
            <w:pPr>
              <w:spacing w:before="40" w:after="40"/>
            </w:pPr>
            <w:r>
              <w:rPr>
                <w:color w:val="333333"/>
                <w:sz w:val="20"/>
                <w:szCs w:val="20"/>
              </w:rPr>
              <w:t>• Yıllık ekonomik yük: Türkiye'de tahminen 1,2 milyar TL'nin üzerinde</w:t>
            </w:r>
          </w:p>
        </w:tc>
      </w:tr>
    </w:tbl>
    <w:p w:rsidR="00F706DD" w:rsidRDefault="00F706DD">
      <w:pPr>
        <w:spacing w:before="80" w:after="80"/>
      </w:pPr>
    </w:p>
    <w:p w:rsidR="00F706DD" w:rsidRDefault="00000000">
      <w:pPr>
        <w:spacing w:before="80" w:after="80" w:line="320" w:lineRule="auto"/>
        <w:jc w:val="both"/>
      </w:pPr>
      <w:r>
        <w:rPr>
          <w:color w:val="333333"/>
        </w:rPr>
        <w:t>Üriner inkontinans; sosyal izolasyon, depresyon, cinsel işlev bozukluğu ve düşme riskinde artış gibi ikincil sağlık sorunlarıyla da doğrudan ilişkilidir. Bu nedenle erken tanı ve tedavi yalnızca semptom yönetimi açısından değil, genel sağlık ve yaşam kalitesi bakımından da belirleyici öneme sahiptir.</w:t>
      </w:r>
    </w:p>
    <w:p w:rsidR="00F706DD" w:rsidRDefault="00F706DD">
      <w:pPr>
        <w:spacing w:before="80" w:after="80"/>
      </w:pPr>
    </w:p>
    <w:p w:rsidR="00F706DD" w:rsidRDefault="00000000">
      <w:pPr>
        <w:pStyle w:val="Heading1"/>
        <w:pBdr>
          <w:bottom w:val="single" w:sz="6" w:space="6" w:color="0B7B8B"/>
        </w:pBdr>
      </w:pPr>
      <w:r>
        <w:t>Sınıflandırma</w:t>
      </w:r>
    </w:p>
    <w:p w:rsidR="00F706DD" w:rsidRDefault="00000000">
      <w:pPr>
        <w:spacing w:before="80" w:after="80" w:line="320" w:lineRule="auto"/>
        <w:jc w:val="both"/>
      </w:pPr>
      <w:r>
        <w:rPr>
          <w:color w:val="333333"/>
        </w:rPr>
        <w:lastRenderedPageBreak/>
        <w:t>Uluslararası Kontinans Derneği (ICS) sınıflandırmasına göre üriner inkontinans başlıca üç klinik tipe ayrılmaktadır. Her tipin patofizyolojisi, klinik görünümü ve tedavi yaklaşımı birbirinden farklıdır.</w:t>
      </w:r>
    </w:p>
    <w:p w:rsidR="00F706DD" w:rsidRDefault="00F706DD">
      <w:pPr>
        <w:spacing w:before="80"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3506"/>
        <w:gridCol w:w="2400"/>
      </w:tblGrid>
      <w:tr w:rsidR="00F706D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50" w:type="dxa"/>
              <w:bottom w:w="100" w:type="dxa"/>
              <w:right w:w="150" w:type="dxa"/>
            </w:tcMar>
          </w:tcPr>
          <w:p w:rsidR="00F706DD" w:rsidRDefault="00000000">
            <w:r>
              <w:rPr>
                <w:b/>
                <w:bCs/>
                <w:color w:val="FFFFFF"/>
              </w:rPr>
              <w:t>Tip</w:t>
            </w:r>
          </w:p>
        </w:tc>
        <w:tc>
          <w:tcPr>
            <w:tcW w:w="16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50" w:type="dxa"/>
              <w:bottom w:w="100" w:type="dxa"/>
              <w:right w:w="150" w:type="dxa"/>
            </w:tcMar>
          </w:tcPr>
          <w:p w:rsidR="00F706DD" w:rsidRDefault="00000000">
            <w:r>
              <w:rPr>
                <w:b/>
                <w:bCs/>
                <w:color w:val="FFFFFF"/>
              </w:rPr>
              <w:t>Diğer Adı</w:t>
            </w:r>
          </w:p>
        </w:tc>
        <w:tc>
          <w:tcPr>
            <w:tcW w:w="3506"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50" w:type="dxa"/>
              <w:bottom w:w="100" w:type="dxa"/>
              <w:right w:w="150" w:type="dxa"/>
            </w:tcMar>
          </w:tcPr>
          <w:p w:rsidR="00F706DD" w:rsidRDefault="00000000">
            <w:r>
              <w:rPr>
                <w:b/>
                <w:bCs/>
                <w:color w:val="FFFFFF"/>
              </w:rPr>
              <w:t>Klinik Özellik</w:t>
            </w:r>
          </w:p>
        </w:tc>
        <w:tc>
          <w:tcPr>
            <w:tcW w:w="24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50" w:type="dxa"/>
              <w:bottom w:w="100" w:type="dxa"/>
              <w:right w:w="150" w:type="dxa"/>
            </w:tcMar>
          </w:tcPr>
          <w:p w:rsidR="00F706DD" w:rsidRDefault="00000000">
            <w:r>
              <w:rPr>
                <w:b/>
                <w:bCs/>
                <w:color w:val="FFFFFF"/>
              </w:rPr>
              <w:t>Sıklık</w:t>
            </w:r>
          </w:p>
        </w:tc>
      </w:tr>
      <w:tr w:rsidR="00F706D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F706DD" w:rsidRDefault="00000000">
            <w:r>
              <w:rPr>
                <w:color w:val="333333"/>
                <w:sz w:val="20"/>
                <w:szCs w:val="20"/>
              </w:rPr>
              <w:t>Stres Üİ</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F706DD" w:rsidRDefault="00000000">
            <w:r>
              <w:rPr>
                <w:color w:val="333333"/>
                <w:sz w:val="20"/>
                <w:szCs w:val="20"/>
              </w:rPr>
              <w:t>SUI</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F706DD" w:rsidRDefault="00000000">
            <w:r>
              <w:rPr>
                <w:color w:val="333333"/>
                <w:sz w:val="20"/>
                <w:szCs w:val="20"/>
              </w:rPr>
              <w:t>Artmış intraabdominal basınçla idrar kaçırma (öksürme, hapşırma, egzersiz, yürüme)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F706DD" w:rsidRDefault="00000000">
            <w:r>
              <w:rPr>
                <w:color w:val="333333"/>
                <w:sz w:val="20"/>
                <w:szCs w:val="20"/>
              </w:rPr>
              <w:t>%40–50</w:t>
            </w:r>
          </w:p>
        </w:tc>
      </w:tr>
      <w:tr w:rsidR="00F706D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706DD" w:rsidRDefault="00000000">
            <w:r>
              <w:rPr>
                <w:color w:val="333333"/>
                <w:sz w:val="20"/>
                <w:szCs w:val="20"/>
              </w:rPr>
              <w:t>Urge Üİ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706DD" w:rsidRDefault="00000000">
            <w:r>
              <w:rPr>
                <w:color w:val="333333"/>
                <w:sz w:val="20"/>
                <w:szCs w:val="20"/>
              </w:rPr>
              <w:t>UUI</w:t>
            </w:r>
          </w:p>
        </w:tc>
        <w:tc>
          <w:tcPr>
            <w:tcW w:w="3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706DD" w:rsidRDefault="00000000">
            <w:r>
              <w:rPr>
                <w:color w:val="333333"/>
                <w:sz w:val="20"/>
                <w:szCs w:val="20"/>
              </w:rPr>
              <w:t>Ani, şiddetli sıkışma hissiyle birlikte istemsiz idrar kaçırma; aşırı aktif mesane ile ilişkili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706DD" w:rsidRDefault="00000000">
            <w:r>
              <w:rPr>
                <w:color w:val="333333"/>
                <w:sz w:val="20"/>
                <w:szCs w:val="20"/>
              </w:rPr>
              <w:t>%20–30</w:t>
            </w:r>
          </w:p>
        </w:tc>
      </w:tr>
      <w:tr w:rsidR="00F706D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F706DD" w:rsidRDefault="00000000">
            <w:r>
              <w:rPr>
                <w:color w:val="333333"/>
                <w:sz w:val="20"/>
                <w:szCs w:val="20"/>
              </w:rPr>
              <w:t>Mikst Üİ</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F706DD" w:rsidRDefault="00000000">
            <w:r>
              <w:rPr>
                <w:color w:val="333333"/>
                <w:sz w:val="20"/>
                <w:szCs w:val="20"/>
              </w:rPr>
              <w:t>MUI</w:t>
            </w:r>
          </w:p>
        </w:tc>
        <w:tc>
          <w:tcPr>
            <w:tcW w:w="35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F706DD" w:rsidRDefault="00000000">
            <w:r>
              <w:rPr>
                <w:color w:val="333333"/>
                <w:sz w:val="20"/>
                <w:szCs w:val="20"/>
              </w:rPr>
              <w:t>Stres ve urge bileşenlerinin birlikteliği; her iki mekanizma birden etkin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F706DD" w:rsidRDefault="00000000">
            <w:r>
              <w:rPr>
                <w:color w:val="333333"/>
                <w:sz w:val="20"/>
                <w:szCs w:val="20"/>
              </w:rPr>
              <w:t>%30–40</w:t>
            </w:r>
          </w:p>
        </w:tc>
      </w:tr>
    </w:tbl>
    <w:p w:rsidR="00F706DD" w:rsidRDefault="00F706DD">
      <w:pPr>
        <w:spacing w:before="80" w:after="80"/>
      </w:pPr>
    </w:p>
    <w:p w:rsidR="00F706DD" w:rsidRDefault="00000000">
      <w:pPr>
        <w:spacing w:before="80" w:after="80" w:line="320" w:lineRule="auto"/>
        <w:jc w:val="both"/>
      </w:pPr>
      <w:r>
        <w:rPr>
          <w:color w:val="333333"/>
        </w:rPr>
        <w:t>Klinik pratikte mikst inkontinans en sık karşılaşılan tiptir ve tanısal değerlendirmede baskın bileşenin belirlenmesi tedavi planını doğrudan etkiler. Overflow inkontinans ve fonksiyonel inkontinans, daha az yaygın olmakla birlikte ayırıcı tanıda göz önünde bulundurulmalıdır.</w:t>
      </w:r>
    </w:p>
    <w:p w:rsidR="00F706DD" w:rsidRDefault="00F706DD">
      <w:pPr>
        <w:spacing w:before="80" w:after="80"/>
      </w:pPr>
    </w:p>
    <w:p w:rsidR="00F706DD" w:rsidRDefault="00000000">
      <w:pPr>
        <w:pStyle w:val="Heading1"/>
        <w:pBdr>
          <w:bottom w:val="single" w:sz="6" w:space="6" w:color="0B7B8B"/>
        </w:pBdr>
      </w:pPr>
      <w:r>
        <w:t>Tanısal Değerlendirme</w:t>
      </w:r>
    </w:p>
    <w:p w:rsidR="00F706DD" w:rsidRDefault="00000000">
      <w:pPr>
        <w:spacing w:before="80" w:after="80" w:line="320" w:lineRule="auto"/>
        <w:jc w:val="both"/>
      </w:pPr>
      <w:r>
        <w:rPr>
          <w:color w:val="333333"/>
        </w:rPr>
        <w:t>Üriner inkontinansın tanısal değerlendirmesi; kapsamlı anamnez, fizik muayene ve seçilmiş olgularda ileri tetkiklerden oluşan basamaklı bir algoritmayı izlemektedir.</w:t>
      </w:r>
    </w:p>
    <w:p w:rsidR="00F706DD" w:rsidRDefault="00F706DD">
      <w:pPr>
        <w:spacing w:before="80" w:after="80"/>
      </w:pPr>
    </w:p>
    <w:p w:rsidR="00F706DD" w:rsidRDefault="00000000">
      <w:pPr>
        <w:pStyle w:val="Heading2"/>
      </w:pPr>
      <w:r>
        <w:t>Anamnez ve Klinik Değerlendirme</w:t>
      </w:r>
    </w:p>
    <w:p w:rsidR="00F706DD" w:rsidRDefault="00000000">
      <w:pPr>
        <w:spacing w:before="80" w:after="80" w:line="320" w:lineRule="auto"/>
        <w:jc w:val="both"/>
      </w:pPr>
      <w:r>
        <w:rPr>
          <w:color w:val="333333"/>
        </w:rPr>
        <w:t>Semptomun tipi, süresi, şiddeti, tetikleyici faktörler ve yaşam kalitesine etkisi sistematik biçimde sorgulanmalıdır. Günlük ped kullanımı, sıvı alım alışkanlıkları, obstetrik geçmiş, ilaç kullanımı ve eşlik eden pelvik taban bozuklukları tanıyı şekillendiren başlıca klinik verilerdir.</w:t>
      </w:r>
    </w:p>
    <w:p w:rsidR="00F706DD" w:rsidRDefault="00F706D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6D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F706DD" w:rsidRDefault="00000000">
            <w:pPr>
              <w:spacing w:after="80"/>
            </w:pPr>
            <w:r>
              <w:rPr>
                <w:b/>
                <w:bCs/>
                <w:color w:val="0B7B8B"/>
              </w:rPr>
              <w:t>Tanıda Kullanılan Doğrulanmış Ölçüm Araçları</w:t>
            </w:r>
          </w:p>
          <w:p w:rsidR="00F706DD" w:rsidRDefault="00000000">
            <w:pPr>
              <w:spacing w:before="40" w:after="40"/>
            </w:pPr>
            <w:r>
              <w:rPr>
                <w:color w:val="333333"/>
                <w:sz w:val="20"/>
                <w:szCs w:val="20"/>
              </w:rPr>
              <w:t>• ICIQ-UI SF (International Consultation on Incontinence Questionnaire – Urinary Incontinence Short Form)</w:t>
            </w:r>
          </w:p>
          <w:p w:rsidR="00F706DD" w:rsidRDefault="00000000">
            <w:pPr>
              <w:spacing w:before="40" w:after="40"/>
            </w:pPr>
            <w:r>
              <w:rPr>
                <w:color w:val="333333"/>
                <w:sz w:val="20"/>
                <w:szCs w:val="20"/>
              </w:rPr>
              <w:t>• OAB-q (Overactive Bladder Questionnaire) – urge bileşeni ağırlıklı değerlendirme</w:t>
            </w:r>
          </w:p>
          <w:p w:rsidR="00F706DD" w:rsidRDefault="00000000">
            <w:pPr>
              <w:spacing w:before="40" w:after="40"/>
            </w:pPr>
            <w:r>
              <w:rPr>
                <w:color w:val="333333"/>
                <w:sz w:val="20"/>
                <w:szCs w:val="20"/>
              </w:rPr>
              <w:t>• UDI-6 (Urogenital Distress Inventory) – semptom yükü ve distres ölçümü</w:t>
            </w:r>
          </w:p>
          <w:p w:rsidR="00F706DD" w:rsidRDefault="00000000">
            <w:pPr>
              <w:spacing w:before="40" w:after="40"/>
            </w:pPr>
            <w:r>
              <w:rPr>
                <w:color w:val="333333"/>
                <w:sz w:val="20"/>
                <w:szCs w:val="20"/>
              </w:rPr>
              <w:t>• IIQ-7 (Incontinence Impact Questionnaire) – yaşam kalitesi etkisi</w:t>
            </w:r>
          </w:p>
          <w:p w:rsidR="00F706DD" w:rsidRDefault="00000000">
            <w:pPr>
              <w:spacing w:before="40" w:after="40"/>
            </w:pPr>
            <w:r>
              <w:rPr>
                <w:color w:val="333333"/>
                <w:sz w:val="20"/>
                <w:szCs w:val="20"/>
              </w:rPr>
              <w:t>• 3 günlük işeme günlüğü – sıklık, volüm ve kaçırma epizodlarının objektif kaydı</w:t>
            </w:r>
          </w:p>
        </w:tc>
      </w:tr>
    </w:tbl>
    <w:p w:rsidR="00F706DD" w:rsidRDefault="00F706DD">
      <w:pPr>
        <w:spacing w:before="80" w:after="80"/>
      </w:pPr>
    </w:p>
    <w:p w:rsidR="00F706DD" w:rsidRDefault="00000000">
      <w:pPr>
        <w:pStyle w:val="Heading2"/>
      </w:pPr>
      <w:r>
        <w:t>Fizik Muayene</w:t>
      </w:r>
    </w:p>
    <w:p w:rsidR="00F706DD" w:rsidRDefault="00000000">
      <w:pPr>
        <w:spacing w:before="80" w:after="80" w:line="320" w:lineRule="auto"/>
        <w:jc w:val="both"/>
      </w:pPr>
      <w:r>
        <w:rPr>
          <w:color w:val="333333"/>
        </w:rPr>
        <w:t>Pelvik taban kas gücü Oxford skalası ile değerlendirilir. Öksürme testi (stres testi), introital muayene ve pelvik organ prolapsusunun ekarte edilmesi rutin muayenenin ayrılmaz bileşenlerini oluşturur. Post-void rezidüel idrar hacmi ultrasonografi ile ölçülmelidir.</w:t>
      </w:r>
    </w:p>
    <w:p w:rsidR="00F706DD" w:rsidRDefault="00F706D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6D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F706DD" w:rsidRDefault="00000000">
            <w:pPr>
              <w:spacing w:after="80"/>
            </w:pPr>
            <w:r>
              <w:rPr>
                <w:b/>
                <w:bCs/>
                <w:color w:val="0B7B8B"/>
              </w:rPr>
              <w:t>Temel Tanısal Araçlar</w:t>
            </w:r>
          </w:p>
          <w:p w:rsidR="00F706DD" w:rsidRDefault="00000000">
            <w:pPr>
              <w:spacing w:before="40" w:after="40"/>
            </w:pPr>
            <w:r>
              <w:rPr>
                <w:color w:val="333333"/>
                <w:sz w:val="20"/>
                <w:szCs w:val="20"/>
              </w:rPr>
              <w:t>• Pelvik taban kas değerlendirmesi (Oxford skalası: 0–5)</w:t>
            </w:r>
          </w:p>
          <w:p w:rsidR="00F706DD" w:rsidRDefault="00000000">
            <w:pPr>
              <w:spacing w:before="40" w:after="40"/>
            </w:pPr>
            <w:r>
              <w:rPr>
                <w:color w:val="333333"/>
                <w:sz w:val="20"/>
                <w:szCs w:val="20"/>
              </w:rPr>
              <w:t>• Öksürme / Valsalva stres testi</w:t>
            </w:r>
          </w:p>
          <w:p w:rsidR="00F706DD" w:rsidRDefault="00000000">
            <w:pPr>
              <w:spacing w:before="40" w:after="40"/>
            </w:pPr>
            <w:r>
              <w:rPr>
                <w:color w:val="333333"/>
                <w:sz w:val="20"/>
                <w:szCs w:val="20"/>
              </w:rPr>
              <w:t>• Ped testi (1 saatlik veya 24 saatlik)</w:t>
            </w:r>
          </w:p>
          <w:p w:rsidR="00F706DD" w:rsidRDefault="00000000">
            <w:pPr>
              <w:spacing w:before="40" w:after="40"/>
            </w:pPr>
            <w:r>
              <w:rPr>
                <w:color w:val="333333"/>
                <w:sz w:val="20"/>
                <w:szCs w:val="20"/>
              </w:rPr>
              <w:t>• İdrar analizi ve kültürü</w:t>
            </w:r>
          </w:p>
          <w:p w:rsidR="00F706DD" w:rsidRDefault="00000000">
            <w:pPr>
              <w:spacing w:before="40" w:after="40"/>
            </w:pPr>
            <w:r>
              <w:rPr>
                <w:color w:val="333333"/>
                <w:sz w:val="20"/>
                <w:szCs w:val="20"/>
              </w:rPr>
              <w:t>• Post-void rezidüel ölçümü (ultrasonografi)</w:t>
            </w:r>
          </w:p>
          <w:p w:rsidR="00F706DD" w:rsidRDefault="00000000">
            <w:pPr>
              <w:spacing w:before="40" w:after="40"/>
            </w:pPr>
            <w:r>
              <w:rPr>
                <w:color w:val="333333"/>
                <w:sz w:val="20"/>
                <w:szCs w:val="20"/>
              </w:rPr>
              <w:t>• Pelvik ultrasonografi – mesane boynu ve üretra değerlendirmesi</w:t>
            </w:r>
          </w:p>
        </w:tc>
      </w:tr>
    </w:tbl>
    <w:p w:rsidR="00F706DD" w:rsidRDefault="00F706DD">
      <w:pPr>
        <w:spacing w:before="80" w:after="80"/>
      </w:pPr>
    </w:p>
    <w:p w:rsidR="00F706DD" w:rsidRDefault="00000000">
      <w:pPr>
        <w:pStyle w:val="Heading2"/>
      </w:pPr>
      <w:r>
        <w:t>Ürodinamik Değerlendirme</w:t>
      </w:r>
    </w:p>
    <w:p w:rsidR="00F706DD" w:rsidRDefault="00000000">
      <w:pPr>
        <w:spacing w:before="80" w:after="80" w:line="320" w:lineRule="auto"/>
        <w:jc w:val="both"/>
      </w:pPr>
      <w:r>
        <w:rPr>
          <w:color w:val="333333"/>
        </w:rPr>
        <w:t>Ürodinami; konservatif tedaviye yanıt vermeyen, mikst semptomlu, nörojenik mesane şüphesi olan veya cerrahi planlanan olgularda endikedir. Sistometri, basınç-akım çalışması ve üretral basınç profilometrisi tanıyı netleştirmede ve tedavi seçimini yönlendirmede değerli bilgiler sağlar. Ürodinami öncesinde aktif üriner sistem enfeksiyonu ekarte edilmeli; inceleme semptomatik dönemde gerçekleştirilmelidir.</w:t>
      </w:r>
    </w:p>
    <w:p w:rsidR="00F706DD" w:rsidRDefault="00F706DD">
      <w:pPr>
        <w:spacing w:before="80" w:after="80"/>
      </w:pPr>
    </w:p>
    <w:p w:rsidR="00F706DD" w:rsidRDefault="00000000">
      <w:pPr>
        <w:pStyle w:val="Heading1"/>
        <w:pBdr>
          <w:bottom w:val="single" w:sz="6" w:space="6" w:color="0B7B8B"/>
        </w:pBdr>
      </w:pPr>
      <w:r>
        <w:t>Tedavi Yaklaşımları</w:t>
      </w:r>
    </w:p>
    <w:p w:rsidR="00F706DD" w:rsidRDefault="00000000">
      <w:pPr>
        <w:spacing w:before="80" w:after="80" w:line="320" w:lineRule="auto"/>
        <w:jc w:val="both"/>
      </w:pPr>
      <w:r>
        <w:rPr>
          <w:color w:val="333333"/>
        </w:rPr>
        <w:t>Üriner inkontinansın yönetimi; semptom tipine, şiddetine, hasta tercihine ve eşlik eden komorbiditelerine göre bireyselleştirilmelidir. Uluslararası kılavuzlar tedaviyi basamaklı bir algoritma çerçevesinde ele almaktadır: konservatif yaklaşımlar her zaman birinci basamak seçenek olarak değerlendirilmeli, farmakolojik ve cerrahi seçenekler buna göre konumlandırılmalıdır.</w:t>
      </w:r>
    </w:p>
    <w:p w:rsidR="00F706DD" w:rsidRDefault="00F706DD">
      <w:pPr>
        <w:spacing w:before="80" w:after="80"/>
      </w:pPr>
    </w:p>
    <w:p w:rsidR="00F706DD" w:rsidRDefault="00000000">
      <w:pPr>
        <w:pStyle w:val="Heading2"/>
      </w:pPr>
      <w:r>
        <w:t>Konservatif Tedavi</w:t>
      </w:r>
    </w:p>
    <w:p w:rsidR="00F706DD" w:rsidRDefault="00000000">
      <w:pPr>
        <w:spacing w:before="80" w:after="80" w:line="320" w:lineRule="auto"/>
        <w:jc w:val="both"/>
      </w:pPr>
      <w:r>
        <w:rPr>
          <w:color w:val="333333"/>
        </w:rPr>
        <w:t>Pelvik taban rehabilitasyonu ve davranışsal müdahaleler, tüm inkontinans tiplerinde birinci basamak tedaviyi oluşturmaktadır. Kanıt düzeyi yüksek bu yaklaşımlar, doğru uygulandığında cerrahi gereksinimi anlamlı biçimde azaltmaktadır.</w:t>
      </w:r>
    </w:p>
    <w:p w:rsidR="00F706DD" w:rsidRDefault="00F706DD">
      <w:pPr>
        <w:spacing w:before="80" w:after="80"/>
      </w:pPr>
    </w:p>
    <w:p w:rsidR="00F706DD" w:rsidRDefault="00000000">
      <w:pPr>
        <w:pStyle w:val="ListParagraph"/>
        <w:numPr>
          <w:ilvl w:val="0"/>
          <w:numId w:val="2"/>
        </w:numPr>
        <w:spacing w:before="60" w:after="60"/>
      </w:pPr>
      <w:r>
        <w:rPr>
          <w:color w:val="333333"/>
        </w:rPr>
        <w:t>Pelvik taban kas egzersizleri (PFMT): Yapılandırılmış 12 haftalık program, haftada en az 3 seans; stres ve mikst Üİ'de birinci basamak standart tedavi</w:t>
      </w:r>
    </w:p>
    <w:p w:rsidR="00F706DD" w:rsidRDefault="00000000">
      <w:pPr>
        <w:pStyle w:val="ListParagraph"/>
        <w:numPr>
          <w:ilvl w:val="0"/>
          <w:numId w:val="2"/>
        </w:numPr>
        <w:spacing w:before="60" w:after="60"/>
      </w:pPr>
      <w:r>
        <w:rPr>
          <w:color w:val="333333"/>
        </w:rPr>
        <w:t>Mesane eğitimi: İşeme günlüğü eşliğinde zamanlı işeme ve aralık uzatma protokolü; urge Üİ'de etkin</w:t>
      </w:r>
    </w:p>
    <w:p w:rsidR="00F706DD" w:rsidRDefault="00000000">
      <w:pPr>
        <w:pStyle w:val="ListParagraph"/>
        <w:numPr>
          <w:ilvl w:val="0"/>
          <w:numId w:val="2"/>
        </w:numPr>
        <w:spacing w:before="60" w:after="60"/>
      </w:pPr>
      <w:r>
        <w:rPr>
          <w:color w:val="333333"/>
        </w:rPr>
        <w:t>Yaşam tarzı düzenlemeleri: Kilo kontrolü (BMI &gt;30 olgularda semptomları %50'ye kadar azaltabilir), kafein kısıtlaması, kabızlık yönetimi, sigara bırakma</w:t>
      </w:r>
    </w:p>
    <w:p w:rsidR="00F706DD" w:rsidRDefault="00000000">
      <w:pPr>
        <w:pStyle w:val="ListParagraph"/>
        <w:numPr>
          <w:ilvl w:val="0"/>
          <w:numId w:val="2"/>
        </w:numPr>
        <w:spacing w:before="60" w:after="60"/>
      </w:pPr>
      <w:r>
        <w:rPr>
          <w:color w:val="333333"/>
        </w:rPr>
        <w:t>Vajinal ağırlıklar ve biofeedback: PFMT'nin etkinliğini artıran yardımcı yöntemler</w:t>
      </w:r>
    </w:p>
    <w:p w:rsidR="00F706DD" w:rsidRDefault="00000000">
      <w:pPr>
        <w:pStyle w:val="ListParagraph"/>
        <w:numPr>
          <w:ilvl w:val="0"/>
          <w:numId w:val="2"/>
        </w:numPr>
        <w:spacing w:before="60" w:after="60"/>
      </w:pPr>
      <w:r>
        <w:rPr>
          <w:color w:val="333333"/>
        </w:rPr>
        <w:t>Pesser uygulaması: Özellikle eşlik eden prolapsus varlığında veya cerrahi risk taşıyan hastalarda</w:t>
      </w:r>
    </w:p>
    <w:p w:rsidR="00F706DD" w:rsidRDefault="00F706DD">
      <w:pPr>
        <w:spacing w:before="80" w:after="80"/>
      </w:pPr>
    </w:p>
    <w:p w:rsidR="00F706DD" w:rsidRDefault="00000000">
      <w:pPr>
        <w:pStyle w:val="Heading2"/>
      </w:pPr>
      <w:r>
        <w:t>Farmakolojik Tedavi</w:t>
      </w:r>
    </w:p>
    <w:p w:rsidR="00F706DD" w:rsidRDefault="00000000">
      <w:pPr>
        <w:spacing w:before="80" w:after="80" w:line="320" w:lineRule="auto"/>
        <w:jc w:val="both"/>
      </w:pPr>
      <w:r>
        <w:rPr>
          <w:color w:val="333333"/>
        </w:rPr>
        <w:lastRenderedPageBreak/>
        <w:t>Farmakolojik tedavi, konservatif yaklaşımlara yeterli yanıt alınamayan olgularda veya semptom şiddetinin yüksek olduğu durumlarda uygulanır. İlaç seçimi semptom tipine, hasta profiline ve eşlik eden hastalıklara göre yapılır.</w:t>
      </w:r>
    </w:p>
    <w:p w:rsidR="00F706DD" w:rsidRDefault="00F706DD">
      <w:pPr>
        <w:spacing w:before="80"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3006"/>
        <w:gridCol w:w="2300"/>
      </w:tblGrid>
      <w:tr w:rsidR="00F706D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40" w:type="dxa"/>
              <w:bottom w:w="100" w:type="dxa"/>
              <w:right w:w="140" w:type="dxa"/>
            </w:tcMar>
          </w:tcPr>
          <w:p w:rsidR="00F706DD" w:rsidRDefault="00000000">
            <w:r>
              <w:rPr>
                <w:b/>
                <w:bCs/>
                <w:color w:val="FFFFFF"/>
                <w:sz w:val="20"/>
                <w:szCs w:val="20"/>
              </w:rPr>
              <w:t>İlaç Grubu</w:t>
            </w:r>
          </w:p>
        </w:tc>
        <w:tc>
          <w:tcPr>
            <w:tcW w:w="20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40" w:type="dxa"/>
              <w:bottom w:w="100" w:type="dxa"/>
              <w:right w:w="140" w:type="dxa"/>
            </w:tcMar>
          </w:tcPr>
          <w:p w:rsidR="00F706DD" w:rsidRDefault="00000000">
            <w:r>
              <w:rPr>
                <w:b/>
                <w:bCs/>
                <w:color w:val="FFFFFF"/>
                <w:sz w:val="20"/>
                <w:szCs w:val="20"/>
              </w:rPr>
              <w:t>Örnek Ajanlar</w:t>
            </w:r>
          </w:p>
        </w:tc>
        <w:tc>
          <w:tcPr>
            <w:tcW w:w="3006"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40" w:type="dxa"/>
              <w:bottom w:w="100" w:type="dxa"/>
              <w:right w:w="140" w:type="dxa"/>
            </w:tcMar>
          </w:tcPr>
          <w:p w:rsidR="00F706DD" w:rsidRDefault="00000000">
            <w:r>
              <w:rPr>
                <w:b/>
                <w:bCs/>
                <w:color w:val="FFFFFF"/>
                <w:sz w:val="20"/>
                <w:szCs w:val="20"/>
              </w:rPr>
              <w:t>Endikasyon</w:t>
            </w:r>
          </w:p>
        </w:tc>
        <w:tc>
          <w:tcPr>
            <w:tcW w:w="2300" w:type="dxa"/>
            <w:tcBorders>
              <w:top w:val="single" w:sz="1" w:space="0" w:color="CCCCCC"/>
              <w:left w:val="single" w:sz="1" w:space="0" w:color="CCCCCC"/>
              <w:bottom w:val="single" w:sz="1" w:space="0" w:color="CCCCCC"/>
              <w:right w:val="single" w:sz="1" w:space="0" w:color="CCCCCC"/>
            </w:tcBorders>
            <w:shd w:val="clear" w:color="auto" w:fill="0B7B8B"/>
            <w:tcMar>
              <w:top w:w="100" w:type="dxa"/>
              <w:left w:w="140" w:type="dxa"/>
              <w:bottom w:w="100" w:type="dxa"/>
              <w:right w:w="140" w:type="dxa"/>
            </w:tcMar>
          </w:tcPr>
          <w:p w:rsidR="00F706DD" w:rsidRDefault="00000000">
            <w:r>
              <w:rPr>
                <w:b/>
                <w:bCs/>
                <w:color w:val="FFFFFF"/>
                <w:sz w:val="20"/>
                <w:szCs w:val="20"/>
              </w:rPr>
              <w:t>Dikkat Edilecekler</w:t>
            </w:r>
          </w:p>
        </w:tc>
      </w:tr>
      <w:tr w:rsidR="00F706D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F706DD" w:rsidRDefault="00000000">
            <w:r>
              <w:rPr>
                <w:color w:val="333333"/>
                <w:sz w:val="19"/>
                <w:szCs w:val="19"/>
              </w:rPr>
              <w:t>Antikolinerjikler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F706DD" w:rsidRDefault="00000000">
            <w:r>
              <w:rPr>
                <w:color w:val="333333"/>
                <w:sz w:val="19"/>
                <w:szCs w:val="19"/>
              </w:rPr>
              <w:t>Oksibutinin, tolterodin, solifenasin, fesoterodin</w:t>
            </w:r>
          </w:p>
        </w:tc>
        <w:tc>
          <w:tcPr>
            <w:tcW w:w="3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F706DD" w:rsidRDefault="00000000">
            <w:r>
              <w:rPr>
                <w:color w:val="333333"/>
                <w:sz w:val="19"/>
                <w:szCs w:val="19"/>
              </w:rPr>
              <w:t>Urge Üİ, aşırı aktif mesane</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F706DD" w:rsidRDefault="00000000">
            <w:r>
              <w:rPr>
                <w:color w:val="333333"/>
                <w:sz w:val="19"/>
                <w:szCs w:val="19"/>
              </w:rPr>
              <w:t>Ağız kuruluğu, konstipasyon; yaşlılarda dikkat</w:t>
            </w:r>
          </w:p>
        </w:tc>
      </w:tr>
      <w:tr w:rsidR="00F706D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F706DD" w:rsidRDefault="00000000">
            <w:r>
              <w:rPr>
                <w:color w:val="333333"/>
                <w:sz w:val="19"/>
                <w:szCs w:val="19"/>
              </w:rPr>
              <w:t>Beta-3 Agonistler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F706DD" w:rsidRDefault="00000000">
            <w:r>
              <w:rPr>
                <w:color w:val="333333"/>
                <w:sz w:val="19"/>
                <w:szCs w:val="19"/>
              </w:rPr>
              <w:t>Mirabegron, vibegron</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F706DD" w:rsidRDefault="00000000">
            <w:r>
              <w:rPr>
                <w:color w:val="333333"/>
                <w:sz w:val="19"/>
                <w:szCs w:val="19"/>
              </w:rPr>
              <w:t>Urge Üİ, aşırı aktif mesane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F706DD" w:rsidRDefault="00000000">
            <w:r>
              <w:rPr>
                <w:color w:val="333333"/>
                <w:sz w:val="19"/>
                <w:szCs w:val="19"/>
              </w:rPr>
              <w:t>Kan basıncı takibi; antikolinerjiklere alternatif</w:t>
            </w:r>
          </w:p>
        </w:tc>
      </w:tr>
      <w:tr w:rsidR="00F706D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F706DD" w:rsidRDefault="00000000">
            <w:r>
              <w:rPr>
                <w:color w:val="333333"/>
                <w:sz w:val="19"/>
                <w:szCs w:val="19"/>
              </w:rPr>
              <w:t>Duloksetin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F706DD" w:rsidRDefault="00000000">
            <w:r>
              <w:rPr>
                <w:color w:val="333333"/>
                <w:sz w:val="19"/>
                <w:szCs w:val="19"/>
              </w:rPr>
              <w:t>Duloksetin HCl</w:t>
            </w:r>
          </w:p>
        </w:tc>
        <w:tc>
          <w:tcPr>
            <w:tcW w:w="30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F706DD" w:rsidRDefault="00000000">
            <w:r>
              <w:rPr>
                <w:color w:val="333333"/>
                <w:sz w:val="19"/>
                <w:szCs w:val="19"/>
              </w:rPr>
              <w:t>Orta-şiddetli stres Üİ</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rsidR="00F706DD" w:rsidRDefault="00000000">
            <w:r>
              <w:rPr>
                <w:color w:val="333333"/>
                <w:sz w:val="19"/>
                <w:szCs w:val="19"/>
              </w:rPr>
              <w:t>Bulantı; yan etki profili gözetilmeli</w:t>
            </w:r>
          </w:p>
        </w:tc>
      </w:tr>
      <w:tr w:rsidR="00F706D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F706DD" w:rsidRDefault="00000000">
            <w:r>
              <w:rPr>
                <w:color w:val="333333"/>
                <w:sz w:val="19"/>
                <w:szCs w:val="19"/>
              </w:rPr>
              <w:t>Lokal Östrojen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F706DD" w:rsidRDefault="00000000">
            <w:r>
              <w:rPr>
                <w:color w:val="333333"/>
                <w:sz w:val="19"/>
                <w:szCs w:val="19"/>
              </w:rPr>
              <w:t>Vajinal östradiol, östriol</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F706DD" w:rsidRDefault="00000000">
            <w:r>
              <w:rPr>
                <w:color w:val="333333"/>
                <w:sz w:val="19"/>
                <w:szCs w:val="19"/>
              </w:rPr>
              <w:t>Menopozal atrofi + Üİ birlikteliği</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F706DD" w:rsidRDefault="00000000">
            <w:r>
              <w:rPr>
                <w:color w:val="333333"/>
                <w:sz w:val="19"/>
                <w:szCs w:val="19"/>
              </w:rPr>
              <w:t>Sistemik etki düşük; lokal uygulama</w:t>
            </w:r>
          </w:p>
        </w:tc>
      </w:tr>
    </w:tbl>
    <w:p w:rsidR="00F706DD" w:rsidRDefault="00F706DD">
      <w:pPr>
        <w:spacing w:before="80" w:after="80"/>
      </w:pPr>
    </w:p>
    <w:p w:rsidR="00F706DD" w:rsidRDefault="00000000">
      <w:pPr>
        <w:pStyle w:val="Heading2"/>
      </w:pPr>
      <w:r>
        <w:t>İleri Tedavi Seçenekleri</w:t>
      </w:r>
    </w:p>
    <w:p w:rsidR="00F706DD" w:rsidRDefault="00000000">
      <w:pPr>
        <w:spacing w:before="80" w:after="80" w:line="320" w:lineRule="auto"/>
        <w:jc w:val="both"/>
      </w:pPr>
      <w:r>
        <w:rPr>
          <w:color w:val="333333"/>
        </w:rPr>
        <w:t>Konservatif ve farmakolojik tedavilere yanıt vermeyen olgularda, semptom tipine ve hastanın klinik özelliklerine göre aşağıdaki ileri tedavi seçenekleri değerlendirilir.</w:t>
      </w:r>
    </w:p>
    <w:p w:rsidR="00F706DD" w:rsidRDefault="00F706D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6D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F706DD" w:rsidRDefault="00000000">
            <w:pPr>
              <w:spacing w:after="80"/>
            </w:pPr>
            <w:r>
              <w:rPr>
                <w:b/>
                <w:bCs/>
                <w:color w:val="0B7B8B"/>
              </w:rPr>
              <w:t>Stres Üriner İnkontinans: Cerrahi Seçenekler</w:t>
            </w:r>
          </w:p>
          <w:p w:rsidR="00F706DD" w:rsidRDefault="00000000">
            <w:pPr>
              <w:spacing w:before="40" w:after="40"/>
            </w:pPr>
            <w:r>
              <w:rPr>
                <w:color w:val="333333"/>
                <w:sz w:val="20"/>
                <w:szCs w:val="20"/>
              </w:rPr>
              <w:t>• Retropubik midüretral sling (TVT) – altın standart; %80–90 uzun dönem başarı</w:t>
            </w:r>
          </w:p>
          <w:p w:rsidR="00F706DD" w:rsidRDefault="00000000">
            <w:pPr>
              <w:spacing w:before="40" w:after="40"/>
            </w:pPr>
            <w:r>
              <w:rPr>
                <w:color w:val="333333"/>
                <w:sz w:val="20"/>
                <w:szCs w:val="20"/>
              </w:rPr>
              <w:t>• Transobturator sling (TOT / TVT-O) – TVT ile eşdeğer etkinlik, farklı komplikasyon profili</w:t>
            </w:r>
          </w:p>
          <w:p w:rsidR="00F706DD" w:rsidRDefault="00000000">
            <w:pPr>
              <w:spacing w:before="40" w:after="40"/>
            </w:pPr>
            <w:r>
              <w:rPr>
                <w:color w:val="333333"/>
                <w:sz w:val="20"/>
                <w:szCs w:val="20"/>
              </w:rPr>
              <w:t>• Mini sling prosedürleri – tek insizyonlu; azalan doku travması</w:t>
            </w:r>
          </w:p>
          <w:p w:rsidR="00F706DD" w:rsidRDefault="00000000">
            <w:pPr>
              <w:spacing w:before="40" w:after="40"/>
            </w:pPr>
            <w:r>
              <w:rPr>
                <w:color w:val="333333"/>
                <w:sz w:val="20"/>
                <w:szCs w:val="20"/>
              </w:rPr>
              <w:t>• Burch kolposüspansiyon – laparoskopik veya açık; prolapsusu olan olgularda tercih</w:t>
            </w:r>
          </w:p>
          <w:p w:rsidR="00F706DD" w:rsidRDefault="00000000">
            <w:pPr>
              <w:spacing w:before="40" w:after="40"/>
            </w:pPr>
            <w:r>
              <w:rPr>
                <w:color w:val="333333"/>
                <w:sz w:val="20"/>
                <w:szCs w:val="20"/>
              </w:rPr>
              <w:t>• Üretral dolgu maddeleri (bulking agents) – yüksek riskli cerrahi olgularda</w:t>
            </w:r>
          </w:p>
        </w:tc>
      </w:tr>
    </w:tbl>
    <w:p w:rsidR="00F706DD" w:rsidRDefault="00F706D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6D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F706DD" w:rsidRDefault="00000000">
            <w:pPr>
              <w:spacing w:after="80"/>
            </w:pPr>
            <w:r>
              <w:rPr>
                <w:b/>
                <w:bCs/>
                <w:color w:val="0B7B8B"/>
              </w:rPr>
              <w:t>Urge / Aşırı Aktif Mesane: İleri Tedaviler</w:t>
            </w:r>
          </w:p>
          <w:p w:rsidR="00F706DD" w:rsidRDefault="00000000">
            <w:pPr>
              <w:spacing w:before="40" w:after="40"/>
            </w:pPr>
            <w:r>
              <w:rPr>
                <w:color w:val="333333"/>
                <w:sz w:val="20"/>
                <w:szCs w:val="20"/>
              </w:rPr>
              <w:t>• Posterior tibial nöromodülasyon (PTNS) – minimal invaziv; 12 haftalık seans protokolü</w:t>
            </w:r>
          </w:p>
          <w:p w:rsidR="00F706DD" w:rsidRDefault="00000000">
            <w:pPr>
              <w:spacing w:before="40" w:after="40"/>
            </w:pPr>
            <w:r>
              <w:rPr>
                <w:color w:val="333333"/>
                <w:sz w:val="20"/>
                <w:szCs w:val="20"/>
              </w:rPr>
              <w:t>• Sakral nöromodülasyon (SNM / InterStim) – implante edilebilir; refrakter OAB'de</w:t>
            </w:r>
          </w:p>
          <w:p w:rsidR="00F706DD" w:rsidRDefault="00000000">
            <w:pPr>
              <w:spacing w:before="40" w:after="40"/>
            </w:pPr>
            <w:r>
              <w:rPr>
                <w:color w:val="333333"/>
                <w:sz w:val="20"/>
                <w:szCs w:val="20"/>
              </w:rPr>
              <w:t>• İntradetrusor botulinum toksin A enjeksiyonu – sistoskopi eşliğinde; 6–9 ay etkinlik</w:t>
            </w:r>
          </w:p>
        </w:tc>
      </w:tr>
    </w:tbl>
    <w:p w:rsidR="00F706DD" w:rsidRDefault="00F706DD">
      <w:pPr>
        <w:spacing w:before="80" w:after="80"/>
      </w:pPr>
    </w:p>
    <w:p w:rsidR="00F706DD" w:rsidRDefault="00000000">
      <w:pPr>
        <w:pStyle w:val="Heading1"/>
        <w:pBdr>
          <w:bottom w:val="single" w:sz="6" w:space="6" w:color="0B7B8B"/>
        </w:pBdr>
      </w:pPr>
      <w:r>
        <w:t>Ege Ürojinekoloji Workshop: Program Felsefesi</w:t>
      </w:r>
    </w:p>
    <w:p w:rsidR="00F706DD" w:rsidRDefault="00000000">
      <w:pPr>
        <w:spacing w:before="80" w:after="80" w:line="320" w:lineRule="auto"/>
        <w:jc w:val="both"/>
      </w:pPr>
      <w:r>
        <w:rPr>
          <w:color w:val="333333"/>
        </w:rPr>
        <w:t>Ege Ürojinekoloji Workshop, ürojinekoloji alanında klinik yetkinliği artırmaya yönelik, kanıt temelli ve uygulamalı eğitimi ön plana çıkaran bir sürekli tıp eğitimi platformudur. İki günlük yoğun format; teorik bilgi aktarımını, realistik maket uygulamalarını ve hands-on istasyonları bir arada sunmaktadır.</w:t>
      </w:r>
    </w:p>
    <w:p w:rsidR="00F706DD" w:rsidRDefault="00000000">
      <w:pPr>
        <w:spacing w:before="80" w:after="80" w:line="320" w:lineRule="auto"/>
        <w:jc w:val="both"/>
      </w:pPr>
      <w:r>
        <w:rPr>
          <w:color w:val="333333"/>
        </w:rPr>
        <w:t xml:space="preserve">Workshop'un temel felsefesi şudur: Ürojinekolojide klinik başarı, anatomiyi iyi bilmek ile doğru hastaya doğru tedaviyi doğru teknikle uygulamak arasındaki köprüyü kurmaktan geçer. Bu </w:t>
      </w:r>
      <w:r>
        <w:rPr>
          <w:color w:val="333333"/>
        </w:rPr>
        <w:lastRenderedPageBreak/>
        <w:t>köprünün kurulabilmesi için teorik bilginin simülasyon ve kadavra uygulamalarıyla pekiştirilmesi şarttır.</w:t>
      </w:r>
    </w:p>
    <w:p w:rsidR="00F706DD" w:rsidRDefault="00F706D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06D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F6"/>
            <w:tcMar>
              <w:top w:w="160" w:type="dxa"/>
              <w:left w:w="200" w:type="dxa"/>
              <w:bottom w:w="160" w:type="dxa"/>
              <w:right w:w="200" w:type="dxa"/>
            </w:tcMar>
          </w:tcPr>
          <w:p w:rsidR="00F706DD" w:rsidRDefault="00000000">
            <w:pPr>
              <w:spacing w:after="80"/>
            </w:pPr>
            <w:r>
              <w:rPr>
                <w:b/>
                <w:bCs/>
                <w:color w:val="0B7B8B"/>
              </w:rPr>
              <w:t>Workshop'un Temel Öğrenme Hedefleri</w:t>
            </w:r>
          </w:p>
          <w:p w:rsidR="00F706DD" w:rsidRDefault="00000000">
            <w:pPr>
              <w:spacing w:before="40" w:after="40"/>
            </w:pPr>
            <w:r>
              <w:rPr>
                <w:color w:val="333333"/>
                <w:sz w:val="20"/>
                <w:szCs w:val="20"/>
              </w:rPr>
              <w:t>• Üriner inkontinans ve pelvik taban disfonksiyonunun multidisipliner değerlendirmesini uygulamak</w:t>
            </w:r>
          </w:p>
          <w:p w:rsidR="00F706DD" w:rsidRDefault="00000000">
            <w:pPr>
              <w:spacing w:before="40" w:after="40"/>
            </w:pPr>
            <w:r>
              <w:rPr>
                <w:color w:val="333333"/>
                <w:sz w:val="20"/>
                <w:szCs w:val="20"/>
              </w:rPr>
              <w:t>• Güncel klinik kılavuzları yorumlayarak bireyselleştirilmiş tedavi kararları almak</w:t>
            </w:r>
          </w:p>
          <w:p w:rsidR="00F706DD" w:rsidRDefault="00000000">
            <w:pPr>
              <w:spacing w:before="40" w:after="40"/>
            </w:pPr>
            <w:r>
              <w:rPr>
                <w:color w:val="333333"/>
                <w:sz w:val="20"/>
                <w:szCs w:val="20"/>
              </w:rPr>
              <w:t>• Ürodinami bulgularını klinik bağlamda analiz etmek</w:t>
            </w:r>
          </w:p>
          <w:p w:rsidR="00F706DD" w:rsidRDefault="00000000">
            <w:pPr>
              <w:spacing w:before="40" w:after="40"/>
            </w:pPr>
            <w:r>
              <w:rPr>
                <w:color w:val="333333"/>
                <w:sz w:val="20"/>
                <w:szCs w:val="20"/>
              </w:rPr>
              <w:t>• Konservatif, farmakolojik ve cerrahi tedavi seçeneklerini kanıt düzeyiyle sınıflandırmak</w:t>
            </w:r>
          </w:p>
          <w:p w:rsidR="00F706DD" w:rsidRDefault="00000000">
            <w:pPr>
              <w:spacing w:before="40" w:after="40"/>
            </w:pPr>
            <w:r>
              <w:rPr>
                <w:color w:val="333333"/>
                <w:sz w:val="20"/>
                <w:szCs w:val="20"/>
              </w:rPr>
              <w:t>• Midüretral sling prosedürlerinin (TVT, TOT) teknik adımlarına simülasyon ortamında hâkim olmak</w:t>
            </w:r>
          </w:p>
          <w:p w:rsidR="00F706DD" w:rsidRDefault="00000000">
            <w:pPr>
              <w:spacing w:before="40" w:after="40"/>
            </w:pPr>
            <w:r>
              <w:rPr>
                <w:color w:val="333333"/>
                <w:sz w:val="20"/>
                <w:szCs w:val="20"/>
              </w:rPr>
              <w:t>• Komplikasyon senaryolarını tanımak ve yönetim algoritmalarını uygulamak</w:t>
            </w:r>
          </w:p>
        </w:tc>
      </w:tr>
    </w:tbl>
    <w:p w:rsidR="00F706DD" w:rsidRDefault="00F706DD">
      <w:pPr>
        <w:spacing w:before="80" w:after="80"/>
      </w:pPr>
    </w:p>
    <w:p w:rsidR="00F706DD" w:rsidRDefault="00000000">
      <w:pPr>
        <w:spacing w:before="80" w:after="80" w:line="320" w:lineRule="auto"/>
        <w:jc w:val="both"/>
      </w:pPr>
      <w:r>
        <w:rPr>
          <w:color w:val="333333"/>
        </w:rPr>
        <w:t>Her workshop döngüsü; o dönem için belirlenen odak konu ve prosedür çerçevesinde içerik açısından güncellenmektedir. Katılımcılar; uzman cerrahlar, interaktif vaka tartışmaları ve uygulamalı istasyonlar aracılığıyla klinik problem çözme becerilerini geliştirme fırsatı bulmaktadır.</w:t>
      </w:r>
    </w:p>
    <w:p w:rsidR="00F706DD" w:rsidRDefault="00F706DD">
      <w:pPr>
        <w:spacing w:before="80" w:after="80"/>
      </w:pPr>
    </w:p>
    <w:p w:rsidR="00F706DD" w:rsidRDefault="00000000">
      <w:pPr>
        <w:pStyle w:val="Heading1"/>
        <w:pBdr>
          <w:bottom w:val="single" w:sz="6" w:space="6" w:color="0B7B8B"/>
        </w:pBdr>
      </w:pPr>
      <w:r>
        <w:t>Temel Referanslar</w:t>
      </w:r>
    </w:p>
    <w:p w:rsidR="00F706DD" w:rsidRDefault="00000000">
      <w:pPr>
        <w:pStyle w:val="ListParagraph"/>
        <w:numPr>
          <w:ilvl w:val="0"/>
          <w:numId w:val="2"/>
        </w:numPr>
        <w:spacing w:before="60" w:after="60"/>
      </w:pPr>
      <w:r>
        <w:rPr>
          <w:color w:val="333333"/>
        </w:rPr>
        <w:t>ICS (International Continence Society) – Üriner İnkontinans Terminoloji ve Standartlar Raporu, 2023</w:t>
      </w:r>
    </w:p>
    <w:p w:rsidR="00F706DD" w:rsidRDefault="00000000">
      <w:pPr>
        <w:pStyle w:val="ListParagraph"/>
        <w:numPr>
          <w:ilvl w:val="0"/>
          <w:numId w:val="2"/>
        </w:numPr>
        <w:spacing w:before="60" w:after="60"/>
      </w:pPr>
      <w:r>
        <w:rPr>
          <w:color w:val="333333"/>
        </w:rPr>
        <w:t>EAU Guidelines on Urinary Incontinence – Güncel Baskı</w:t>
      </w:r>
    </w:p>
    <w:p w:rsidR="00F706DD" w:rsidRDefault="00000000">
      <w:pPr>
        <w:pStyle w:val="ListParagraph"/>
        <w:numPr>
          <w:ilvl w:val="0"/>
          <w:numId w:val="2"/>
        </w:numPr>
        <w:spacing w:before="60" w:after="60"/>
      </w:pPr>
      <w:r>
        <w:rPr>
          <w:color w:val="333333"/>
        </w:rPr>
        <w:t>IUGA/ICS Joint Terminology Report on Female Pelvic Floor Dysfunction</w:t>
      </w:r>
    </w:p>
    <w:p w:rsidR="00F706DD" w:rsidRDefault="00000000">
      <w:pPr>
        <w:pStyle w:val="ListParagraph"/>
        <w:numPr>
          <w:ilvl w:val="0"/>
          <w:numId w:val="2"/>
        </w:numPr>
        <w:spacing w:before="60" w:after="60"/>
      </w:pPr>
      <w:r>
        <w:rPr>
          <w:color w:val="333333"/>
        </w:rPr>
        <w:t>NICE Guideline NG123 – Urinary Incontinence and Pelvic Organ Prolapse in Women</w:t>
      </w:r>
    </w:p>
    <w:p w:rsidR="00F706DD" w:rsidRDefault="00000000">
      <w:pPr>
        <w:pStyle w:val="ListParagraph"/>
        <w:numPr>
          <w:ilvl w:val="0"/>
          <w:numId w:val="2"/>
        </w:numPr>
        <w:spacing w:before="60" w:after="60"/>
      </w:pPr>
      <w:r>
        <w:rPr>
          <w:color w:val="333333"/>
        </w:rPr>
        <w:t>Cochrane Review – Pelvik Taban Kas Egzersizleri ve Üriner İnkontinans</w:t>
      </w:r>
    </w:p>
    <w:p w:rsidR="00F706DD" w:rsidRDefault="00000000">
      <w:pPr>
        <w:pStyle w:val="ListParagraph"/>
        <w:numPr>
          <w:ilvl w:val="0"/>
          <w:numId w:val="2"/>
        </w:numPr>
        <w:spacing w:before="60" w:after="60"/>
      </w:pPr>
      <w:r>
        <w:rPr>
          <w:color w:val="333333"/>
        </w:rPr>
        <w:t>Türk Jinekoloji ve Obstetrik Derneği – Üriner İnkontinans Ulusal Kılavuzu</w:t>
      </w:r>
    </w:p>
    <w:p w:rsidR="00F706DD" w:rsidRDefault="00F706DD">
      <w:pPr>
        <w:spacing w:before="80" w:after="80"/>
      </w:pPr>
    </w:p>
    <w:p w:rsidR="00F706DD" w:rsidRDefault="00000000">
      <w:pPr>
        <w:pBdr>
          <w:top w:val="single" w:sz="4" w:space="8" w:color="0B7B8B"/>
        </w:pBdr>
        <w:spacing w:before="200"/>
        <w:jc w:val="center"/>
      </w:pPr>
      <w:r>
        <w:rPr>
          <w:color w:val="999999"/>
          <w:sz w:val="18"/>
          <w:szCs w:val="18"/>
        </w:rPr>
        <w:t>© 2025 Ege Ürojinekoloji Workshop | egeurojinekoloji.com</w:t>
      </w:r>
    </w:p>
    <w:sectPr w:rsidR="00F706DD">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31BFA" w:rsidRDefault="00631BFA">
      <w:r>
        <w:separator/>
      </w:r>
    </w:p>
  </w:endnote>
  <w:endnote w:type="continuationSeparator" w:id="0">
    <w:p w:rsidR="00631BFA" w:rsidRDefault="00631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6DD" w:rsidRDefault="00000000">
    <w:pPr>
      <w:pBdr>
        <w:top w:val="single" w:sz="4" w:space="4" w:color="CCCCCC"/>
      </w:pBdr>
      <w:tabs>
        <w:tab w:val="right" w:pos="9026"/>
      </w:tabs>
    </w:pPr>
    <w:r>
      <w:rPr>
        <w:color w:val="999999"/>
        <w:sz w:val="18"/>
        <w:szCs w:val="18"/>
      </w:rPr>
      <w:t>Üriner İnkontinans: Tanı ve Tedavide Güncel Yaklaşımlar</w:t>
    </w:r>
    <w:r>
      <w:rPr>
        <w:sz w:val="18"/>
        <w:szCs w:val="18"/>
      </w:rPr>
      <w:tab/>
    </w:r>
    <w:r>
      <w:rPr>
        <w:color w:val="999999"/>
        <w:sz w:val="18"/>
        <w:szCs w:val="18"/>
      </w:rPr>
      <w:fldChar w:fldCharType="begin"/>
    </w:r>
    <w:r>
      <w:rPr>
        <w:color w:val="999999"/>
        <w:sz w:val="18"/>
        <w:szCs w:val="18"/>
      </w:rPr>
      <w:instrText>PAGE</w:instrText>
    </w:r>
    <w:r>
      <w:rPr>
        <w:color w:val="999999"/>
        <w:sz w:val="18"/>
        <w:szCs w:val="18"/>
      </w:rPr>
      <w:fldChar w:fldCharType="separate"/>
    </w:r>
    <w:r w:rsidR="00E42155">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31BFA" w:rsidRDefault="00631BFA">
      <w:r>
        <w:separator/>
      </w:r>
    </w:p>
  </w:footnote>
  <w:footnote w:type="continuationSeparator" w:id="0">
    <w:p w:rsidR="00631BFA" w:rsidRDefault="00631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506"/>
    </w:tblGrid>
    <w:tr w:rsidR="00F706DD">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F706DD" w:rsidRDefault="00000000">
          <w:r>
            <w:rPr>
              <w:b/>
              <w:bCs/>
              <w:color w:val="0B7B8B"/>
              <w:sz w:val="18"/>
              <w:szCs w:val="18"/>
            </w:rPr>
            <w:t>EGE ÜROJİNEKOLOJİ WORKSHOP</w:t>
          </w:r>
        </w:p>
      </w:tc>
      <w:tc>
        <w:tcPr>
          <w:tcW w:w="250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F706DD" w:rsidRDefault="00000000">
          <w:pPr>
            <w:jc w:val="right"/>
          </w:pPr>
          <w:r>
            <w:rPr>
              <w:color w:val="999999"/>
              <w:sz w:val="18"/>
              <w:szCs w:val="18"/>
            </w:rPr>
            <w:t>WHITE PAPER | 2025</w:t>
          </w:r>
        </w:p>
      </w:tc>
    </w:tr>
  </w:tbl>
  <w:p w:rsidR="00F706DD" w:rsidRDefault="00F706DD">
    <w:pPr>
      <w:pBdr>
        <w:bottom w:val="single" w:sz="4" w:space="4" w:color="0B7B8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44747"/>
    <w:multiLevelType w:val="hybridMultilevel"/>
    <w:tmpl w:val="51D01C10"/>
    <w:lvl w:ilvl="0" w:tplc="EECCBEE6">
      <w:start w:val="1"/>
      <w:numFmt w:val="bullet"/>
      <w:lvlText w:val="●"/>
      <w:lvlJc w:val="left"/>
      <w:pPr>
        <w:ind w:left="720" w:hanging="360"/>
      </w:pPr>
    </w:lvl>
    <w:lvl w:ilvl="1" w:tplc="FBB4D350">
      <w:start w:val="1"/>
      <w:numFmt w:val="bullet"/>
      <w:lvlText w:val="○"/>
      <w:lvlJc w:val="left"/>
      <w:pPr>
        <w:ind w:left="1440" w:hanging="360"/>
      </w:pPr>
    </w:lvl>
    <w:lvl w:ilvl="2" w:tplc="1BD65FF6">
      <w:start w:val="1"/>
      <w:numFmt w:val="bullet"/>
      <w:lvlText w:val="■"/>
      <w:lvlJc w:val="left"/>
      <w:pPr>
        <w:ind w:left="2160" w:hanging="360"/>
      </w:pPr>
    </w:lvl>
    <w:lvl w:ilvl="3" w:tplc="D01C398E">
      <w:start w:val="1"/>
      <w:numFmt w:val="bullet"/>
      <w:lvlText w:val="●"/>
      <w:lvlJc w:val="left"/>
      <w:pPr>
        <w:ind w:left="2880" w:hanging="360"/>
      </w:pPr>
    </w:lvl>
    <w:lvl w:ilvl="4" w:tplc="7F766F10">
      <w:start w:val="1"/>
      <w:numFmt w:val="bullet"/>
      <w:lvlText w:val="○"/>
      <w:lvlJc w:val="left"/>
      <w:pPr>
        <w:ind w:left="3600" w:hanging="360"/>
      </w:pPr>
    </w:lvl>
    <w:lvl w:ilvl="5" w:tplc="36DA9CDC">
      <w:start w:val="1"/>
      <w:numFmt w:val="bullet"/>
      <w:lvlText w:val="■"/>
      <w:lvlJc w:val="left"/>
      <w:pPr>
        <w:ind w:left="4320" w:hanging="360"/>
      </w:pPr>
    </w:lvl>
    <w:lvl w:ilvl="6" w:tplc="1240820E">
      <w:start w:val="1"/>
      <w:numFmt w:val="bullet"/>
      <w:lvlText w:val="●"/>
      <w:lvlJc w:val="left"/>
      <w:pPr>
        <w:ind w:left="5040" w:hanging="360"/>
      </w:pPr>
    </w:lvl>
    <w:lvl w:ilvl="7" w:tplc="E278BA14">
      <w:start w:val="1"/>
      <w:numFmt w:val="bullet"/>
      <w:lvlText w:val="●"/>
      <w:lvlJc w:val="left"/>
      <w:pPr>
        <w:ind w:left="5760" w:hanging="360"/>
      </w:pPr>
    </w:lvl>
    <w:lvl w:ilvl="8" w:tplc="4A2E4640">
      <w:start w:val="1"/>
      <w:numFmt w:val="bullet"/>
      <w:lvlText w:val="●"/>
      <w:lvlJc w:val="left"/>
      <w:pPr>
        <w:ind w:left="6480" w:hanging="360"/>
      </w:pPr>
    </w:lvl>
  </w:abstractNum>
  <w:abstractNum w:abstractNumId="1" w15:restartNumberingAfterBreak="0">
    <w:nsid w:val="62FF22B9"/>
    <w:multiLevelType w:val="hybridMultilevel"/>
    <w:tmpl w:val="AEC68236"/>
    <w:lvl w:ilvl="0" w:tplc="EEDC1A30">
      <w:start w:val="1"/>
      <w:numFmt w:val="bullet"/>
      <w:lvlText w:val="•"/>
      <w:lvlJc w:val="left"/>
      <w:pPr>
        <w:ind w:left="720" w:hanging="360"/>
      </w:pPr>
    </w:lvl>
    <w:lvl w:ilvl="1" w:tplc="EBE8CE0A">
      <w:numFmt w:val="decimal"/>
      <w:lvlText w:val=""/>
      <w:lvlJc w:val="left"/>
    </w:lvl>
    <w:lvl w:ilvl="2" w:tplc="0C2073D4">
      <w:numFmt w:val="decimal"/>
      <w:lvlText w:val=""/>
      <w:lvlJc w:val="left"/>
    </w:lvl>
    <w:lvl w:ilvl="3" w:tplc="172A017C">
      <w:numFmt w:val="decimal"/>
      <w:lvlText w:val=""/>
      <w:lvlJc w:val="left"/>
    </w:lvl>
    <w:lvl w:ilvl="4" w:tplc="42701C98">
      <w:numFmt w:val="decimal"/>
      <w:lvlText w:val=""/>
      <w:lvlJc w:val="left"/>
    </w:lvl>
    <w:lvl w:ilvl="5" w:tplc="42E00BFE">
      <w:numFmt w:val="decimal"/>
      <w:lvlText w:val=""/>
      <w:lvlJc w:val="left"/>
    </w:lvl>
    <w:lvl w:ilvl="6" w:tplc="80523422">
      <w:numFmt w:val="decimal"/>
      <w:lvlText w:val=""/>
      <w:lvlJc w:val="left"/>
    </w:lvl>
    <w:lvl w:ilvl="7" w:tplc="61AA3A26">
      <w:numFmt w:val="decimal"/>
      <w:lvlText w:val=""/>
      <w:lvlJc w:val="left"/>
    </w:lvl>
    <w:lvl w:ilvl="8" w:tplc="11A66E24">
      <w:numFmt w:val="decimal"/>
      <w:lvlText w:val=""/>
      <w:lvlJc w:val="left"/>
    </w:lvl>
  </w:abstractNum>
  <w:num w:numId="1" w16cid:durableId="1056734711">
    <w:abstractNumId w:val="0"/>
    <w:lvlOverride w:ilvl="0">
      <w:startOverride w:val="1"/>
    </w:lvlOverride>
  </w:num>
  <w:num w:numId="2" w16cid:durableId="19289280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6DD"/>
    <w:rsid w:val="00631BFA"/>
    <w:rsid w:val="00E42155"/>
    <w:rsid w:val="00F706DD"/>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5:docId w15:val="{04393C3C-56A8-A640-8A61-D395D5120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B7B8B"/>
      <w:sz w:val="28"/>
      <w:szCs w:val="28"/>
    </w:rPr>
  </w:style>
  <w:style w:type="paragraph" w:styleId="Heading2">
    <w:name w:val="heading 2"/>
    <w:uiPriority w:val="9"/>
    <w:unhideWhenUsed/>
    <w:qFormat/>
    <w:pPr>
      <w:spacing w:before="240" w:after="120"/>
      <w:outlineLvl w:val="1"/>
    </w:pPr>
    <w:rPr>
      <w:b/>
      <w:bCs/>
      <w:color w:val="1A2B3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1278</Words>
  <Characters>8144</Characters>
  <Application>Microsoft Office Word</Application>
  <DocSecurity>0</DocSecurity>
  <Lines>150</Lines>
  <Paragraphs>56</Paragraphs>
  <ScaleCrop>false</ScaleCrop>
  <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Ahmet Özgür Yeniel</cp:lastModifiedBy>
  <cp:revision>2</cp:revision>
  <dcterms:created xsi:type="dcterms:W3CDTF">2026-03-31T07:17:00Z</dcterms:created>
  <dcterms:modified xsi:type="dcterms:W3CDTF">2026-03-31T07:17:00Z</dcterms:modified>
</cp:coreProperties>
</file>