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560C32">
        <w:tblPrEx>
          <w:tblCellMar>
            <w:top w:w="0" w:type="dxa"/>
            <w:bottom w:w="0" w:type="dxa"/>
          </w:tblCellMar>
        </w:tblPrEx>
        <w:tc>
          <w:tcPr>
            <w:tcW w:w="9506" w:type="dxa"/>
            <w:tcBorders>
              <w:top w:val="single" w:sz="1" w:space="0" w:color="CCCCCC"/>
              <w:left w:val="single" w:sz="1" w:space="0" w:color="CCCCCC"/>
              <w:bottom w:val="single" w:sz="1" w:space="0" w:color="CCCCCC"/>
              <w:right w:val="single" w:sz="1" w:space="0" w:color="CCCCCC"/>
            </w:tcBorders>
            <w:shd w:val="clear" w:color="auto" w:fill="5B2D8E"/>
            <w:tcMar>
              <w:top w:w="400" w:type="dxa"/>
              <w:left w:w="400" w:type="dxa"/>
              <w:bottom w:w="400" w:type="dxa"/>
              <w:right w:w="400" w:type="dxa"/>
            </w:tcMar>
          </w:tcPr>
          <w:p w:rsidR="00560C32" w:rsidRDefault="00000000">
            <w:pPr>
              <w:spacing w:after="120"/>
              <w:jc w:val="center"/>
            </w:pPr>
            <w:r>
              <w:rPr>
                <w:color w:val="FFFFFF"/>
                <w:sz w:val="20"/>
                <w:szCs w:val="20"/>
              </w:rPr>
              <w:t>EGE ÜROJİNEKOLOJİ WORKSHOP</w:t>
            </w:r>
          </w:p>
          <w:p w:rsidR="00560C32" w:rsidRDefault="00000000">
            <w:pPr>
              <w:spacing w:after="200"/>
              <w:jc w:val="center"/>
            </w:pPr>
            <w:r>
              <w:rPr>
                <w:color w:val="CCBBEE"/>
                <w:sz w:val="20"/>
                <w:szCs w:val="20"/>
              </w:rPr>
              <w:t>Klinik Yazı</w:t>
            </w:r>
          </w:p>
          <w:p w:rsidR="00560C32" w:rsidRDefault="00000000">
            <w:pPr>
              <w:spacing w:after="160"/>
              <w:jc w:val="center"/>
            </w:pPr>
            <w:r>
              <w:rPr>
                <w:b/>
                <w:bCs/>
                <w:color w:val="FFFFFF"/>
                <w:sz w:val="40"/>
                <w:szCs w:val="40"/>
              </w:rPr>
              <w:t>PELVİK ORGAN PROLAPSUSU</w:t>
            </w:r>
          </w:p>
          <w:p w:rsidR="00560C32" w:rsidRDefault="00000000">
            <w:pPr>
              <w:jc w:val="center"/>
            </w:pPr>
            <w:r>
              <w:rPr>
                <w:color w:val="DDEEFF"/>
                <w:sz w:val="26"/>
                <w:szCs w:val="26"/>
              </w:rPr>
              <w:t>Evreleme, Tanı ve Cerrahi Yönetim</w:t>
            </w:r>
          </w:p>
        </w:tc>
      </w:tr>
    </w:tbl>
    <w:p w:rsidR="00560C32" w:rsidRDefault="00560C32">
      <w:pPr>
        <w:spacing w:before="80" w:after="80"/>
      </w:pPr>
    </w:p>
    <w:p w:rsidR="00560C32" w:rsidRDefault="00000000">
      <w:pPr>
        <w:pStyle w:val="Heading1"/>
        <w:pBdr>
          <w:bottom w:val="single" w:sz="6" w:space="6" w:color="5B2D8E"/>
        </w:pBdr>
      </w:pPr>
      <w:r>
        <w:t>Giriş</w:t>
      </w:r>
    </w:p>
    <w:p w:rsidR="00560C32" w:rsidRDefault="00000000">
      <w:pPr>
        <w:spacing w:before="80" w:after="80" w:line="320" w:lineRule="auto"/>
        <w:jc w:val="both"/>
      </w:pPr>
      <w:r>
        <w:rPr>
          <w:color w:val="333333"/>
        </w:rPr>
        <w:t>Pelvik organ prolapsusu (POP), pelvik taban destek yapılarının zayıflaması sonucunda vajinal kanalın ön, arka veya apikal kompartmanlarında bir ya da birden fazla pelvik organın anatomik pozisyonundan dışarı doğru yer değiştirmesidir. Doğurganlık çağı sonrası kadınların %40'ında klinik bulgu saptanmakla birlikte, semptomatik prolapsus vakalarında yaşam kalitesi belirgin biçimde bozulmaktadır.</w:t>
      </w:r>
    </w:p>
    <w:p w:rsidR="00560C32" w:rsidRDefault="00000000">
      <w:pPr>
        <w:spacing w:before="80" w:after="80" w:line="320" w:lineRule="auto"/>
        <w:jc w:val="both"/>
      </w:pPr>
      <w:r>
        <w:rPr>
          <w:color w:val="333333"/>
        </w:rPr>
        <w:t>Bu yazı; prolapsusun epidemiyolojisini, etiyolojisini, POP-Q evreleme sistemini, tanısal süreçleri ve kanıta dayalı tedavi seçeneklerini uzman hekim perspektifinden ele almaktadır. Ege Ürojinekoloji Workshop eğitim programının bir parçası olarak hazırlanmıştır.</w:t>
      </w:r>
    </w:p>
    <w:p w:rsidR="00560C32" w:rsidRDefault="00560C32">
      <w:pPr>
        <w:spacing w:before="80" w:after="80"/>
      </w:pPr>
    </w:p>
    <w:p w:rsidR="00560C32" w:rsidRDefault="00000000">
      <w:pPr>
        <w:pStyle w:val="Heading1"/>
        <w:pBdr>
          <w:bottom w:val="single" w:sz="6" w:space="6" w:color="5B2D8E"/>
        </w:pBdr>
      </w:pPr>
      <w:r>
        <w:t>Epidemiyoloji ve Etiyoloji</w:t>
      </w:r>
    </w:p>
    <w:p w:rsidR="00560C32" w:rsidRDefault="00000000">
      <w:pPr>
        <w:spacing w:before="80" w:after="80" w:line="320" w:lineRule="auto"/>
        <w:jc w:val="both"/>
      </w:pPr>
      <w:r>
        <w:rPr>
          <w:color w:val="333333"/>
        </w:rPr>
        <w:t>POP, dünya genelinde kadınların yaklaşık %30–40'ını yaşamının herhangi bir döneminde etkileyen yaygın bir pelvik taban bozukluğudur. Yaşam boyu cerrahi müdahale riski %10–20 olarak tahmin edilmektedir ve rekürrens nedeniyle reoperasyon oranları göz önüne alındığında bu rakam daha da anlam kazanmaktadır.</w:t>
      </w:r>
    </w:p>
    <w:p w:rsidR="00560C32" w:rsidRDefault="00000000">
      <w:pPr>
        <w:spacing w:before="80" w:after="80" w:line="320" w:lineRule="auto"/>
        <w:jc w:val="both"/>
      </w:pPr>
      <w:r>
        <w:rPr>
          <w:color w:val="333333"/>
        </w:rPr>
        <w:t>POP'un etiyolojisi multifaktöriyel olmakla birlikte pelvik taban kas ve bağ dokusunu etkileyen konjenital, obstetrik ve hormonal faktörlerin birlikteliğiyle ortaya çıkmaktadır.</w:t>
      </w:r>
    </w:p>
    <w:p w:rsidR="00560C32" w:rsidRDefault="00560C32">
      <w:pPr>
        <w:spacing w:before="80"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6"/>
      </w:tblGrid>
      <w:tr w:rsidR="00560C3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5B2D8E"/>
            <w:tcMar>
              <w:top w:w="100" w:type="dxa"/>
              <w:left w:w="150" w:type="dxa"/>
              <w:bottom w:w="100" w:type="dxa"/>
              <w:right w:w="150" w:type="dxa"/>
            </w:tcMar>
          </w:tcPr>
          <w:p w:rsidR="00560C32" w:rsidRDefault="00000000">
            <w:r>
              <w:rPr>
                <w:b/>
                <w:bCs/>
                <w:color w:val="FFFFFF"/>
              </w:rPr>
              <w:t>Risk Faktörü Kategorisi</w:t>
            </w:r>
          </w:p>
        </w:tc>
        <w:tc>
          <w:tcPr>
            <w:tcW w:w="6706" w:type="dxa"/>
            <w:tcBorders>
              <w:top w:val="single" w:sz="1" w:space="0" w:color="CCCCCC"/>
              <w:left w:val="single" w:sz="1" w:space="0" w:color="CCCCCC"/>
              <w:bottom w:val="single" w:sz="1" w:space="0" w:color="CCCCCC"/>
              <w:right w:val="single" w:sz="1" w:space="0" w:color="CCCCCC"/>
            </w:tcBorders>
            <w:shd w:val="clear" w:color="auto" w:fill="5B2D8E"/>
            <w:tcMar>
              <w:top w:w="100" w:type="dxa"/>
              <w:left w:w="150" w:type="dxa"/>
              <w:bottom w:w="100" w:type="dxa"/>
              <w:right w:w="150" w:type="dxa"/>
            </w:tcMar>
          </w:tcPr>
          <w:p w:rsidR="00560C32" w:rsidRDefault="00000000">
            <w:r>
              <w:rPr>
                <w:b/>
                <w:bCs/>
                <w:color w:val="FFFFFF"/>
              </w:rPr>
              <w:t>Spesifik Faktörler</w:t>
            </w:r>
          </w:p>
        </w:tc>
      </w:tr>
      <w:tr w:rsidR="00560C3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560C32" w:rsidRDefault="00000000">
            <w:r>
              <w:rPr>
                <w:color w:val="333333"/>
                <w:sz w:val="20"/>
                <w:szCs w:val="20"/>
              </w:rPr>
              <w:t>Obstetrik</w:t>
            </w:r>
          </w:p>
        </w:tc>
        <w:tc>
          <w:tcPr>
            <w:tcW w:w="6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560C32" w:rsidRDefault="00000000">
            <w:r>
              <w:rPr>
                <w:color w:val="333333"/>
                <w:sz w:val="20"/>
                <w:szCs w:val="20"/>
              </w:rPr>
              <w:t>Vajinal doğum (özellikle müdahaleli), makrozomi, uzun 2. evre, perine laserasyonu</w:t>
            </w:r>
          </w:p>
        </w:tc>
      </w:tr>
      <w:tr w:rsidR="00560C3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560C32" w:rsidRDefault="00000000">
            <w:r>
              <w:rPr>
                <w:color w:val="333333"/>
                <w:sz w:val="20"/>
                <w:szCs w:val="20"/>
              </w:rPr>
              <w:t>Hormonal</w:t>
            </w:r>
          </w:p>
        </w:tc>
        <w:tc>
          <w:tcPr>
            <w:tcW w:w="6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560C32" w:rsidRDefault="00000000">
            <w:r>
              <w:rPr>
                <w:color w:val="333333"/>
                <w:sz w:val="20"/>
                <w:szCs w:val="20"/>
              </w:rPr>
              <w:t>Menopoz, östrojen eksikliği, yaşlanmayla birlikte doku gevşekliği</w:t>
            </w:r>
          </w:p>
        </w:tc>
      </w:tr>
      <w:tr w:rsidR="00560C3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560C32" w:rsidRDefault="00000000">
            <w:r>
              <w:rPr>
                <w:color w:val="333333"/>
                <w:sz w:val="20"/>
                <w:szCs w:val="20"/>
              </w:rPr>
              <w:t>Yapısal</w:t>
            </w:r>
          </w:p>
        </w:tc>
        <w:tc>
          <w:tcPr>
            <w:tcW w:w="6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560C32" w:rsidRDefault="00000000">
            <w:r>
              <w:rPr>
                <w:color w:val="333333"/>
                <w:sz w:val="20"/>
                <w:szCs w:val="20"/>
              </w:rPr>
              <w:t>Konjenital bağ dokusu zayıflığı, kollajen sentez bozuklukları</w:t>
            </w:r>
          </w:p>
        </w:tc>
      </w:tr>
      <w:tr w:rsidR="00560C3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560C32" w:rsidRDefault="00000000">
            <w:r>
              <w:rPr>
                <w:color w:val="333333"/>
                <w:sz w:val="20"/>
                <w:szCs w:val="20"/>
              </w:rPr>
              <w:t>Kronik Basınç Artışı</w:t>
            </w:r>
          </w:p>
        </w:tc>
        <w:tc>
          <w:tcPr>
            <w:tcW w:w="6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560C32" w:rsidRDefault="00000000">
            <w:r>
              <w:rPr>
                <w:color w:val="333333"/>
                <w:sz w:val="20"/>
                <w:szCs w:val="20"/>
              </w:rPr>
              <w:t>Obezite, kronik konstipasyon, kronik öksürük, ağır iş yükü</w:t>
            </w:r>
          </w:p>
        </w:tc>
      </w:tr>
      <w:tr w:rsidR="00560C3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560C32" w:rsidRDefault="00000000">
            <w:r>
              <w:rPr>
                <w:color w:val="333333"/>
                <w:sz w:val="20"/>
                <w:szCs w:val="20"/>
              </w:rPr>
              <w:t>Önceki Pelvik Cerrahi</w:t>
            </w:r>
          </w:p>
        </w:tc>
        <w:tc>
          <w:tcPr>
            <w:tcW w:w="6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560C32" w:rsidRDefault="00000000">
            <w:r>
              <w:rPr>
                <w:color w:val="333333"/>
                <w:sz w:val="20"/>
                <w:szCs w:val="20"/>
              </w:rPr>
              <w:t>Histerektomi, önceki POP onarımı, radikal pelvik cerrahi</w:t>
            </w:r>
          </w:p>
        </w:tc>
      </w:tr>
    </w:tbl>
    <w:p w:rsidR="00560C32" w:rsidRDefault="00560C32">
      <w:pPr>
        <w:spacing w:before="80" w:after="80"/>
      </w:pPr>
    </w:p>
    <w:p w:rsidR="00560C32" w:rsidRDefault="00000000">
      <w:pPr>
        <w:pStyle w:val="Heading1"/>
        <w:pBdr>
          <w:bottom w:val="single" w:sz="6" w:space="6" w:color="5B2D8E"/>
        </w:pBdr>
      </w:pPr>
      <w:r>
        <w:t>Sınıflandırma: POP-Q Sistemi</w:t>
      </w:r>
    </w:p>
    <w:p w:rsidR="00560C32" w:rsidRDefault="00000000">
      <w:pPr>
        <w:spacing w:before="80" w:after="80" w:line="320" w:lineRule="auto"/>
        <w:jc w:val="both"/>
      </w:pPr>
      <w:r>
        <w:rPr>
          <w:color w:val="333333"/>
        </w:rPr>
        <w:lastRenderedPageBreak/>
        <w:t>Pelvik organ prolapsusunun standardize değerlendirmesi için ICS tarafından önerilen POP-Q (Pelvic Organ Prolapse Quantification) sistemi, anatomik referans noktalarına dayalı objektif ölçümler sağlar. Hymen referans alınarak yapılan ölçümlerde 9 anatomik nokta ve bunlara karşılık gelen santimetre değerleri kaydedilir. Bu sistem; klinisyenler arası iletişimi standartlaştırması ve rekürrens değerlendirmesine olanak tanıması nedeniyle vazgeçilmez bir klinik araçtır.</w:t>
      </w:r>
    </w:p>
    <w:p w:rsidR="00560C32" w:rsidRDefault="00560C3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C3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EAF8"/>
            <w:tcMar>
              <w:top w:w="160" w:type="dxa"/>
              <w:left w:w="200" w:type="dxa"/>
              <w:bottom w:w="160" w:type="dxa"/>
              <w:right w:w="200" w:type="dxa"/>
            </w:tcMar>
          </w:tcPr>
          <w:p w:rsidR="00560C32" w:rsidRDefault="00000000">
            <w:pPr>
              <w:spacing w:after="80"/>
            </w:pPr>
            <w:r>
              <w:rPr>
                <w:b/>
                <w:bCs/>
                <w:color w:val="5B2D8E"/>
              </w:rPr>
              <w:t>POP-Q Evreleme Sistemi</w:t>
            </w:r>
          </w:p>
          <w:p w:rsidR="00560C32" w:rsidRDefault="00000000">
            <w:pPr>
              <w:spacing w:before="40" w:after="40"/>
            </w:pPr>
            <w:r>
              <w:rPr>
                <w:color w:val="333333"/>
                <w:sz w:val="20"/>
                <w:szCs w:val="20"/>
              </w:rPr>
              <w:t>Evre 0:  Prolapsus yok — tüm ölçümler negatif</w:t>
            </w:r>
          </w:p>
          <w:p w:rsidR="00560C32" w:rsidRDefault="00000000">
            <w:pPr>
              <w:spacing w:before="40" w:after="40"/>
            </w:pPr>
            <w:r>
              <w:rPr>
                <w:color w:val="333333"/>
                <w:sz w:val="20"/>
                <w:szCs w:val="20"/>
              </w:rPr>
              <w:t>Evre I:  En distal nokta hymenden &gt;1 cm yukarıda</w:t>
            </w:r>
          </w:p>
          <w:p w:rsidR="00560C32" w:rsidRDefault="00000000">
            <w:pPr>
              <w:spacing w:before="40" w:after="40"/>
            </w:pPr>
            <w:r>
              <w:rPr>
                <w:color w:val="333333"/>
                <w:sz w:val="20"/>
                <w:szCs w:val="20"/>
              </w:rPr>
              <w:t>Evre II:  En distal nokta hymenden ≤1 cm yukarıda veya aşağıda</w:t>
            </w:r>
          </w:p>
          <w:p w:rsidR="00560C32" w:rsidRDefault="00000000">
            <w:pPr>
              <w:spacing w:before="40" w:after="40"/>
            </w:pPr>
            <w:r>
              <w:rPr>
                <w:color w:val="333333"/>
                <w:sz w:val="20"/>
                <w:szCs w:val="20"/>
              </w:rPr>
              <w:t>Evre III:  En distal nokta hymenden &gt;1 cm aşağıda; vajinal uzunluğun 2 cm kısasından az prolabe</w:t>
            </w:r>
          </w:p>
          <w:p w:rsidR="00560C32" w:rsidRDefault="00000000">
            <w:pPr>
              <w:spacing w:before="40" w:after="40"/>
            </w:pPr>
            <w:r>
              <w:rPr>
                <w:color w:val="333333"/>
                <w:sz w:val="20"/>
                <w:szCs w:val="20"/>
              </w:rPr>
              <w:t>Evre IV:  Tam vajinal dışa dönme (eversiyon)</w:t>
            </w:r>
          </w:p>
        </w:tc>
      </w:tr>
    </w:tbl>
    <w:p w:rsidR="00560C32" w:rsidRDefault="00560C32">
      <w:pPr>
        <w:spacing w:before="80" w:after="80"/>
      </w:pPr>
    </w:p>
    <w:p w:rsidR="00560C32" w:rsidRDefault="00000000">
      <w:pPr>
        <w:spacing w:before="80" w:after="80" w:line="320" w:lineRule="auto"/>
        <w:jc w:val="both"/>
      </w:pPr>
      <w:r>
        <w:rPr>
          <w:color w:val="333333"/>
        </w:rPr>
        <w:t>Klinik değerlendirmede prolapsusun kompartman bazlı incelenmesi esastır: ön kompartman (sistosel), apikal kompartman (uterus veya vajinal kaf) ve arka kompartman (rektosel, enterosel) birbirinden bağımsız evrelendirilmeli; baskın kompartman belirlenerek tedavi planı buna göre şekillendirilmelidir.</w:t>
      </w:r>
    </w:p>
    <w:p w:rsidR="00560C32" w:rsidRDefault="00560C32">
      <w:pPr>
        <w:spacing w:before="80" w:after="80"/>
      </w:pPr>
    </w:p>
    <w:p w:rsidR="00560C32" w:rsidRDefault="00000000">
      <w:pPr>
        <w:pStyle w:val="Heading1"/>
        <w:pBdr>
          <w:bottom w:val="single" w:sz="6" w:space="6" w:color="5B2D8E"/>
        </w:pBdr>
      </w:pPr>
      <w:r>
        <w:t>Tanısal Değerlendirme</w:t>
      </w:r>
    </w:p>
    <w:p w:rsidR="00560C32" w:rsidRDefault="00000000">
      <w:pPr>
        <w:spacing w:before="80" w:after="80" w:line="320" w:lineRule="auto"/>
        <w:jc w:val="both"/>
      </w:pPr>
      <w:r>
        <w:rPr>
          <w:color w:val="333333"/>
        </w:rPr>
        <w:t>POP'un tanısal değerlendirmesi; semptom bazlı sorgulama, doğrulanmış ölçüm araçları ve sistematik klinik muayeneden oluşan basamaklı bir yaklaşımı izlemektedir.</w:t>
      </w:r>
    </w:p>
    <w:p w:rsidR="00560C32" w:rsidRDefault="00560C32">
      <w:pPr>
        <w:spacing w:before="80" w:after="80"/>
      </w:pPr>
    </w:p>
    <w:p w:rsidR="00560C32" w:rsidRDefault="00000000">
      <w:pPr>
        <w:pStyle w:val="Heading2"/>
      </w:pPr>
      <w:r>
        <w:t>Semptom Bazlı Sorgulama</w:t>
      </w:r>
    </w:p>
    <w:p w:rsidR="00560C32" w:rsidRDefault="00000000">
      <w:pPr>
        <w:spacing w:before="80" w:after="80" w:line="320" w:lineRule="auto"/>
        <w:jc w:val="both"/>
      </w:pPr>
      <w:r>
        <w:rPr>
          <w:color w:val="333333"/>
        </w:rPr>
        <w:t>Prolapsus semptomları kompartmana göre farklılık gösterir. Ön kompartman defektleri (sistosel) stres inkontinans ve işeme disfonksiyonuyla, apikal defektler pelvik dolgunluk ve bası hissiyle, arka kompartman defektleri ise defekasyon güçlüğü ile ilişkilidir. Hastaların önemli bir bölümü semptomlarını utanma nedeniyle aktarmaktan kaçınmakta ya da şikayetlerini yaşlanmanın doğal bir sonucu olarak yorumlamaktadır.</w:t>
      </w:r>
    </w:p>
    <w:p w:rsidR="00560C32" w:rsidRDefault="00560C3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C3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EAF8"/>
            <w:tcMar>
              <w:top w:w="160" w:type="dxa"/>
              <w:left w:w="200" w:type="dxa"/>
              <w:bottom w:w="160" w:type="dxa"/>
              <w:right w:w="200" w:type="dxa"/>
            </w:tcMar>
          </w:tcPr>
          <w:p w:rsidR="00560C32" w:rsidRDefault="00000000">
            <w:pPr>
              <w:spacing w:after="80"/>
            </w:pPr>
            <w:r>
              <w:rPr>
                <w:b/>
                <w:bCs/>
                <w:color w:val="5B2D8E"/>
              </w:rPr>
              <w:t>Doğrulanmış Semptom Ölçüm Araçları</w:t>
            </w:r>
          </w:p>
          <w:p w:rsidR="00560C32" w:rsidRDefault="00000000">
            <w:pPr>
              <w:spacing w:before="40" w:after="40"/>
            </w:pPr>
            <w:r>
              <w:rPr>
                <w:color w:val="333333"/>
                <w:sz w:val="20"/>
                <w:szCs w:val="20"/>
              </w:rPr>
              <w:t>• PFDI-20 (Pelvik Taban Distres Envanteri) – kapsamlı semptom yükü değerlendirmesi</w:t>
            </w:r>
          </w:p>
          <w:p w:rsidR="00560C32" w:rsidRDefault="00000000">
            <w:pPr>
              <w:spacing w:before="40" w:after="40"/>
            </w:pPr>
            <w:r>
              <w:rPr>
                <w:color w:val="333333"/>
                <w:sz w:val="20"/>
                <w:szCs w:val="20"/>
              </w:rPr>
              <w:t>• PFIQ-7 (Pelvik Taban Etki Anketi) – yaşam kalitesine etkinin ölçümü</w:t>
            </w:r>
          </w:p>
          <w:p w:rsidR="00560C32" w:rsidRDefault="00000000">
            <w:pPr>
              <w:spacing w:before="40" w:after="40"/>
            </w:pPr>
            <w:r>
              <w:rPr>
                <w:color w:val="333333"/>
                <w:sz w:val="20"/>
                <w:szCs w:val="20"/>
              </w:rPr>
              <w:t>• POPDI-6 (Prolapsus Distres Envanteri) – prolapsusa özgü distres skoru</w:t>
            </w:r>
          </w:p>
          <w:p w:rsidR="00560C32" w:rsidRDefault="00000000">
            <w:pPr>
              <w:spacing w:before="40" w:after="40"/>
            </w:pPr>
            <w:r>
              <w:rPr>
                <w:color w:val="333333"/>
                <w:sz w:val="20"/>
                <w:szCs w:val="20"/>
              </w:rPr>
              <w:t>• PISQ-12 (Pelvik Organ Prolapsusu / İnkontinans Cinsel Anket) – seksüel fonksiyon</w:t>
            </w:r>
          </w:p>
        </w:tc>
      </w:tr>
    </w:tbl>
    <w:p w:rsidR="00560C32" w:rsidRDefault="00560C32">
      <w:pPr>
        <w:spacing w:before="80" w:after="80"/>
      </w:pPr>
    </w:p>
    <w:p w:rsidR="00560C32" w:rsidRDefault="00000000">
      <w:pPr>
        <w:pStyle w:val="Heading2"/>
      </w:pPr>
      <w:r>
        <w:t>Klinik Muayene</w:t>
      </w:r>
    </w:p>
    <w:p w:rsidR="00560C32" w:rsidRDefault="00000000">
      <w:pPr>
        <w:spacing w:before="80" w:after="80" w:line="320" w:lineRule="auto"/>
        <w:jc w:val="both"/>
      </w:pPr>
      <w:r>
        <w:rPr>
          <w:color w:val="333333"/>
        </w:rPr>
        <w:t xml:space="preserve">Valsalva manevrası eşliğinde dorsal litotomi pozisyonunda yapılan spekulum muayenesi, prolapsusun kompartman bazlı değerlendirilmesine olanak tanır. Her iki yarım spekulum ile ön, </w:t>
      </w:r>
      <w:r>
        <w:rPr>
          <w:color w:val="333333"/>
        </w:rPr>
        <w:lastRenderedPageBreak/>
        <w:t>arka ve apikal kompartman birbirinden bağımsız incelenmeli; maksimum prolapsus evresi kayıt altına alınmalıdır. Pelvik taban kas gücü Oxford skalası ile değerlendirilmeli, eşlik eden üriner inkontinans ve rektal bulgular sorgulanmalıdır.</w:t>
      </w:r>
    </w:p>
    <w:p w:rsidR="00560C32" w:rsidRDefault="00560C3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C3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EAF8"/>
            <w:tcMar>
              <w:top w:w="160" w:type="dxa"/>
              <w:left w:w="200" w:type="dxa"/>
              <w:bottom w:w="160" w:type="dxa"/>
              <w:right w:w="200" w:type="dxa"/>
            </w:tcMar>
          </w:tcPr>
          <w:p w:rsidR="00560C32" w:rsidRDefault="00000000">
            <w:pPr>
              <w:spacing w:after="80"/>
            </w:pPr>
            <w:r>
              <w:rPr>
                <w:b/>
                <w:bCs/>
                <w:color w:val="5B2D8E"/>
              </w:rPr>
              <w:t>Klinik Muayenede Temel Adımlar</w:t>
            </w:r>
          </w:p>
          <w:p w:rsidR="00560C32" w:rsidRDefault="00000000">
            <w:pPr>
              <w:spacing w:before="40" w:after="40"/>
            </w:pPr>
            <w:r>
              <w:rPr>
                <w:color w:val="333333"/>
                <w:sz w:val="20"/>
                <w:szCs w:val="20"/>
              </w:rPr>
              <w:t>• Dorsal litotomi pozisyonu + Valsalva manevrası</w:t>
            </w:r>
          </w:p>
          <w:p w:rsidR="00560C32" w:rsidRDefault="00000000">
            <w:pPr>
              <w:spacing w:before="40" w:after="40"/>
            </w:pPr>
            <w:r>
              <w:rPr>
                <w:color w:val="333333"/>
                <w:sz w:val="20"/>
                <w:szCs w:val="20"/>
              </w:rPr>
              <w:t>• Yarım spekulum ile her kompartmanın bağımsız değerlendirmesi</w:t>
            </w:r>
          </w:p>
          <w:p w:rsidR="00560C32" w:rsidRDefault="00000000">
            <w:pPr>
              <w:spacing w:before="40" w:after="40"/>
            </w:pPr>
            <w:r>
              <w:rPr>
                <w:color w:val="333333"/>
                <w:sz w:val="20"/>
                <w:szCs w:val="20"/>
              </w:rPr>
              <w:t>• POP-Q ölçümlerinin kaydedilmesi (9 anatomik nokta)</w:t>
            </w:r>
          </w:p>
          <w:p w:rsidR="00560C32" w:rsidRDefault="00000000">
            <w:pPr>
              <w:spacing w:before="40" w:after="40"/>
            </w:pPr>
            <w:r>
              <w:rPr>
                <w:color w:val="333333"/>
                <w:sz w:val="20"/>
                <w:szCs w:val="20"/>
              </w:rPr>
              <w:t>• Oxford skalası ile pelvik taban kas gücü değerlendirmesi</w:t>
            </w:r>
          </w:p>
          <w:p w:rsidR="00560C32" w:rsidRDefault="00000000">
            <w:pPr>
              <w:spacing w:before="40" w:after="40"/>
            </w:pPr>
            <w:r>
              <w:rPr>
                <w:color w:val="333333"/>
                <w:sz w:val="20"/>
                <w:szCs w:val="20"/>
              </w:rPr>
              <w:t>• Öksürme testi — eşlik eden stres inkontinans sorgulaması</w:t>
            </w:r>
          </w:p>
          <w:p w:rsidR="00560C32" w:rsidRDefault="00000000">
            <w:pPr>
              <w:spacing w:before="40" w:after="40"/>
            </w:pPr>
            <w:r>
              <w:rPr>
                <w:color w:val="333333"/>
                <w:sz w:val="20"/>
                <w:szCs w:val="20"/>
              </w:rPr>
              <w:t>• Post-void rezidüel idrar hacmi ölçümü</w:t>
            </w:r>
          </w:p>
        </w:tc>
      </w:tr>
    </w:tbl>
    <w:p w:rsidR="00560C32" w:rsidRDefault="00560C32">
      <w:pPr>
        <w:spacing w:before="80" w:after="80"/>
      </w:pPr>
    </w:p>
    <w:p w:rsidR="00560C32" w:rsidRDefault="00000000">
      <w:pPr>
        <w:pStyle w:val="Heading1"/>
        <w:pBdr>
          <w:bottom w:val="single" w:sz="6" w:space="6" w:color="5B2D8E"/>
        </w:pBdr>
      </w:pPr>
      <w:r>
        <w:t>Tedavi Seçenekleri</w:t>
      </w:r>
    </w:p>
    <w:p w:rsidR="00560C32" w:rsidRDefault="00000000">
      <w:pPr>
        <w:spacing w:before="80" w:after="80" w:line="320" w:lineRule="auto"/>
        <w:jc w:val="both"/>
      </w:pPr>
      <w:r>
        <w:rPr>
          <w:color w:val="333333"/>
        </w:rPr>
        <w:t>POP tedavisi; semptom şiddeti, prolapsus evresi, hasta yaşı ve tercihi, üreme planı, eşlik eden inkontinans durumu ve komorbiditelere göre bireyselleştirilmelidir. Asemptomatik veya hafif semptomlu olgularda konservatif yaklaşım ön planda tutulmalı; cerrahi kararı beklenti yönetimi ile birlikte alınmalıdır.</w:t>
      </w:r>
    </w:p>
    <w:p w:rsidR="00560C32" w:rsidRDefault="00560C32">
      <w:pPr>
        <w:spacing w:before="80" w:after="80"/>
      </w:pPr>
    </w:p>
    <w:p w:rsidR="00560C32" w:rsidRDefault="00000000">
      <w:pPr>
        <w:pStyle w:val="Heading2"/>
      </w:pPr>
      <w:r>
        <w:t>Konservatif Yaklaşım</w:t>
      </w:r>
    </w:p>
    <w:p w:rsidR="00560C32" w:rsidRDefault="00000000">
      <w:pPr>
        <w:spacing w:before="80" w:after="80" w:line="320" w:lineRule="auto"/>
        <w:jc w:val="both"/>
      </w:pPr>
      <w:r>
        <w:rPr>
          <w:color w:val="333333"/>
        </w:rPr>
        <w:t>Konservatif tedavi, Evre I–II prolapsusta ve cerrahi riski yüksek olgularda birincil seçenektir. Yaşam kalitesi bozulmamış asemptomatik olgularda aktif izlem de geçerli bir yönetim stratejisidir.</w:t>
      </w:r>
    </w:p>
    <w:p w:rsidR="00560C32" w:rsidRDefault="00560C32">
      <w:pPr>
        <w:spacing w:before="80" w:after="80"/>
      </w:pPr>
    </w:p>
    <w:p w:rsidR="00560C32" w:rsidRDefault="00000000">
      <w:pPr>
        <w:pStyle w:val="ListParagraph"/>
        <w:numPr>
          <w:ilvl w:val="0"/>
          <w:numId w:val="2"/>
        </w:numPr>
        <w:spacing w:before="60" w:after="60"/>
      </w:pPr>
      <w:r>
        <w:rPr>
          <w:color w:val="333333"/>
        </w:rPr>
        <w:t>Pelvik taban rehabilitasyonu: Yapılandırılmış PFMT programı; erken evre prolapsusta semptom kontrolü ve progresyonu yavaşlatma</w:t>
      </w:r>
    </w:p>
    <w:p w:rsidR="00560C32" w:rsidRDefault="00000000">
      <w:pPr>
        <w:pStyle w:val="ListParagraph"/>
        <w:numPr>
          <w:ilvl w:val="0"/>
          <w:numId w:val="2"/>
        </w:numPr>
        <w:spacing w:before="60" w:after="60"/>
      </w:pPr>
      <w:r>
        <w:rPr>
          <w:color w:val="333333"/>
        </w:rPr>
        <w:t>Pesser uygulaması: Cerrahi uygulanamayan veya istemeyen olgularda etkin uzun dönem seçenek; düzenli kontrol ve bakım gerektirir</w:t>
      </w:r>
    </w:p>
    <w:p w:rsidR="00560C32" w:rsidRDefault="00000000">
      <w:pPr>
        <w:pStyle w:val="ListParagraph"/>
        <w:numPr>
          <w:ilvl w:val="0"/>
          <w:numId w:val="2"/>
        </w:numPr>
        <w:spacing w:before="60" w:after="60"/>
      </w:pPr>
      <w:r>
        <w:rPr>
          <w:color w:val="333333"/>
        </w:rPr>
        <w:t>Yaşam tarzı düzenlemeleri: Kilo kontrolü, konstipasyon tedavisi, ağır kaldırma kısıtlaması, sigara bırakma</w:t>
      </w:r>
    </w:p>
    <w:p w:rsidR="00560C32" w:rsidRDefault="00000000">
      <w:pPr>
        <w:pStyle w:val="ListParagraph"/>
        <w:numPr>
          <w:ilvl w:val="0"/>
          <w:numId w:val="2"/>
        </w:numPr>
        <w:spacing w:before="60" w:after="60"/>
      </w:pPr>
      <w:r>
        <w:rPr>
          <w:color w:val="333333"/>
        </w:rPr>
        <w:t>Lokal östrojen tedavisi: Vajinal atrofi varlığında doku kalitesini artırır; pesser toleransını iyileştirir</w:t>
      </w:r>
    </w:p>
    <w:p w:rsidR="00560C32" w:rsidRDefault="00560C32">
      <w:pPr>
        <w:spacing w:before="80" w:after="80"/>
      </w:pPr>
    </w:p>
    <w:p w:rsidR="00560C32" w:rsidRDefault="00000000">
      <w:pPr>
        <w:pStyle w:val="Heading2"/>
      </w:pPr>
      <w:r>
        <w:t>Cerrahi Tedavi</w:t>
      </w:r>
    </w:p>
    <w:p w:rsidR="00560C32" w:rsidRDefault="00000000">
      <w:pPr>
        <w:spacing w:before="80" w:after="80" w:line="320" w:lineRule="auto"/>
        <w:jc w:val="both"/>
      </w:pPr>
      <w:r>
        <w:rPr>
          <w:color w:val="333333"/>
        </w:rPr>
        <w:t>Cerrahi tedavi; semptomatik, yaşam kalitesini etkileyen ve konservatif tedaviye yanıt vermeyen olgularda endikedir. Obliteratif (kolpokleizis) ve rekonstrüktif yöntemler mevcut olup her yaklaşımın kendi endikasyon, avantaj ve kısıtlılıkları bulunmaktadır. Teknik seçimde; hastanın üreme planı, seksüel aktivite durumu, kompartman anatomisi ve cerrahın deneyimi belirleyici rol oynar.</w:t>
      </w:r>
    </w:p>
    <w:p w:rsidR="00560C32" w:rsidRDefault="00560C3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C3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EAF8"/>
            <w:tcMar>
              <w:top w:w="160" w:type="dxa"/>
              <w:left w:w="200" w:type="dxa"/>
              <w:bottom w:w="160" w:type="dxa"/>
              <w:right w:w="200" w:type="dxa"/>
            </w:tcMar>
          </w:tcPr>
          <w:p w:rsidR="00560C32" w:rsidRDefault="00000000">
            <w:pPr>
              <w:spacing w:after="80"/>
            </w:pPr>
            <w:r>
              <w:rPr>
                <w:b/>
                <w:bCs/>
                <w:color w:val="5B2D8E"/>
              </w:rPr>
              <w:t>Rekonstrüktif Cerrahi Seçenekleri</w:t>
            </w:r>
          </w:p>
          <w:p w:rsidR="00560C32" w:rsidRDefault="00000000">
            <w:pPr>
              <w:spacing w:before="40" w:after="40"/>
            </w:pPr>
            <w:r>
              <w:rPr>
                <w:color w:val="333333"/>
                <w:sz w:val="20"/>
                <w:szCs w:val="20"/>
              </w:rPr>
              <w:t>• Anterior kolporafi — sistosel onarımı; native tissue teknik</w:t>
            </w:r>
          </w:p>
          <w:p w:rsidR="00560C32" w:rsidRDefault="00000000">
            <w:pPr>
              <w:spacing w:before="40" w:after="40"/>
            </w:pPr>
            <w:r>
              <w:rPr>
                <w:color w:val="333333"/>
                <w:sz w:val="20"/>
                <w:szCs w:val="20"/>
              </w:rPr>
              <w:lastRenderedPageBreak/>
              <w:t>• Posterior kolpoperineorafi — rektosel ve enterosel onarımı</w:t>
            </w:r>
          </w:p>
          <w:p w:rsidR="00560C32" w:rsidRDefault="00000000">
            <w:pPr>
              <w:spacing w:before="40" w:after="40"/>
            </w:pPr>
            <w:r>
              <w:rPr>
                <w:color w:val="333333"/>
                <w:sz w:val="20"/>
                <w:szCs w:val="20"/>
              </w:rPr>
              <w:t>• Sakrospinöz ligaman fiksasyonu (SSLF) — apikal destek; vajinal yaklaşım</w:t>
            </w:r>
          </w:p>
          <w:p w:rsidR="00560C32" w:rsidRDefault="00000000">
            <w:pPr>
              <w:spacing w:before="40" w:after="40"/>
            </w:pPr>
            <w:r>
              <w:rPr>
                <w:color w:val="333333"/>
                <w:sz w:val="20"/>
                <w:szCs w:val="20"/>
              </w:rPr>
              <w:t>• Uterosakral ligaman süspansiyonu (USLS) — apikal destek; laparoskopik veya vajinal</w:t>
            </w:r>
          </w:p>
          <w:p w:rsidR="00560C32" w:rsidRDefault="00000000">
            <w:pPr>
              <w:spacing w:before="40" w:after="40"/>
            </w:pPr>
            <w:r>
              <w:rPr>
                <w:color w:val="333333"/>
                <w:sz w:val="20"/>
                <w:szCs w:val="20"/>
              </w:rPr>
              <w:t>• Laparoskopik / robotik sakrokolpopeksi — apikal prolapsusun altın standardı</w:t>
            </w:r>
          </w:p>
          <w:p w:rsidR="00560C32" w:rsidRDefault="00000000">
            <w:pPr>
              <w:spacing w:before="40" w:after="40"/>
            </w:pPr>
            <w:r>
              <w:rPr>
                <w:color w:val="333333"/>
                <w:sz w:val="20"/>
                <w:szCs w:val="20"/>
              </w:rPr>
              <w:t>• Histeropeksi prosedürleri — uterusu koruyan yaklaşımlar; genç hasta grubu</w:t>
            </w:r>
          </w:p>
          <w:p w:rsidR="00560C32" w:rsidRDefault="00000000">
            <w:pPr>
              <w:spacing w:before="40" w:after="40"/>
            </w:pPr>
            <w:r>
              <w:rPr>
                <w:color w:val="333333"/>
                <w:sz w:val="20"/>
                <w:szCs w:val="20"/>
              </w:rPr>
              <w:t>• Native tissue repair teknikleri — mesh kullanılmayan primer onarım</w:t>
            </w:r>
          </w:p>
        </w:tc>
      </w:tr>
    </w:tbl>
    <w:p w:rsidR="00560C32" w:rsidRDefault="00560C32">
      <w:pPr>
        <w:spacing w:before="80" w:after="80"/>
      </w:pPr>
    </w:p>
    <w:p w:rsidR="00560C32" w:rsidRDefault="00000000">
      <w:pPr>
        <w:pStyle w:val="Heading1"/>
        <w:pBdr>
          <w:bottom w:val="single" w:sz="6" w:space="6" w:color="5B2D8E"/>
        </w:pBdr>
      </w:pPr>
      <w:r>
        <w:t>Rekürrens ve Komplikasyon Yönetimi</w:t>
      </w:r>
    </w:p>
    <w:p w:rsidR="00560C32" w:rsidRDefault="00000000">
      <w:pPr>
        <w:spacing w:before="80" w:after="80" w:line="320" w:lineRule="auto"/>
        <w:jc w:val="both"/>
      </w:pPr>
      <w:r>
        <w:rPr>
          <w:color w:val="333333"/>
        </w:rPr>
        <w:t>Prolapsus cerrahisinde rekürrens oranı %10–30 olup en sık arka ve apikal kompartmanda görülmektedir. Risk faktörleri arasında ileri POP-Q evresi, genç yaş, yüksek vücut kitle indeksi, bağ dokusu hastalıkları ve yetersiz apikal destek yer almaktadır. Reoperasyon kararı; hasta beklentisi, anatomik bulgular ve yaşam kalitesi üzerindeki etkinin bütünleşik değerlendirmesi doğrultusunda alınmalıdır.</w:t>
      </w:r>
    </w:p>
    <w:p w:rsidR="00560C32" w:rsidRDefault="00560C3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C3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EAF8"/>
            <w:tcMar>
              <w:top w:w="160" w:type="dxa"/>
              <w:left w:w="200" w:type="dxa"/>
              <w:bottom w:w="160" w:type="dxa"/>
              <w:right w:w="200" w:type="dxa"/>
            </w:tcMar>
          </w:tcPr>
          <w:p w:rsidR="00560C32" w:rsidRDefault="00000000">
            <w:pPr>
              <w:spacing w:after="80"/>
            </w:pPr>
            <w:r>
              <w:rPr>
                <w:b/>
                <w:bCs/>
                <w:color w:val="5B2D8E"/>
              </w:rPr>
              <w:t>Komplikasyon Profili ve Yönetim İlkeleri</w:t>
            </w:r>
          </w:p>
          <w:p w:rsidR="00560C32" w:rsidRDefault="00000000">
            <w:pPr>
              <w:spacing w:before="40" w:after="40"/>
            </w:pPr>
            <w:r>
              <w:rPr>
                <w:color w:val="333333"/>
                <w:sz w:val="20"/>
                <w:szCs w:val="20"/>
              </w:rPr>
              <w:t>• De novo stres inkontinans: Apikal destek onarımı sonrası maskelenmiş SÜİ ortaya çıkabilir; preoperatif değerlendirme şarttır</w:t>
            </w:r>
          </w:p>
          <w:p w:rsidR="00560C32" w:rsidRDefault="00000000">
            <w:pPr>
              <w:spacing w:before="40" w:after="40"/>
            </w:pPr>
            <w:r>
              <w:rPr>
                <w:color w:val="333333"/>
                <w:sz w:val="20"/>
                <w:szCs w:val="20"/>
              </w:rPr>
              <w:t>• Ağ (mesh) komplikasyonları: Erozyon, ağrı, disparoni; teknik seçim ve hasta bilgilendirmesi kritik</w:t>
            </w:r>
          </w:p>
          <w:p w:rsidR="00560C32" w:rsidRDefault="00000000">
            <w:pPr>
              <w:spacing w:before="40" w:after="40"/>
            </w:pPr>
            <w:r>
              <w:rPr>
                <w:color w:val="333333"/>
                <w:sz w:val="20"/>
                <w:szCs w:val="20"/>
              </w:rPr>
              <w:t>• Obstrüktif işeme: Aşırı gergin onarımlar sonrası gelişebilir; sling gevşetme gerektirebilir</w:t>
            </w:r>
          </w:p>
          <w:p w:rsidR="00560C32" w:rsidRDefault="00000000">
            <w:pPr>
              <w:spacing w:before="40" w:after="40"/>
            </w:pPr>
            <w:r>
              <w:rPr>
                <w:color w:val="333333"/>
                <w:sz w:val="20"/>
                <w:szCs w:val="20"/>
              </w:rPr>
              <w:t>• Disparoni: Özellikle posterior onarımlarda; aşırı posterior kolporafiden kaçınılmalı</w:t>
            </w:r>
          </w:p>
          <w:p w:rsidR="00560C32" w:rsidRDefault="00000000">
            <w:pPr>
              <w:spacing w:before="40" w:after="40"/>
            </w:pPr>
            <w:r>
              <w:rPr>
                <w:color w:val="333333"/>
                <w:sz w:val="20"/>
                <w:szCs w:val="20"/>
              </w:rPr>
              <w:t>• Üreter yaralanması: Apikal prosedürlerde sistoskopi ile intraoperatif kontrol zorunludur</w:t>
            </w:r>
          </w:p>
        </w:tc>
      </w:tr>
    </w:tbl>
    <w:p w:rsidR="00560C32" w:rsidRDefault="00560C32">
      <w:pPr>
        <w:spacing w:before="80" w:after="80"/>
      </w:pPr>
    </w:p>
    <w:p w:rsidR="00560C32" w:rsidRDefault="00000000">
      <w:pPr>
        <w:pStyle w:val="Heading1"/>
        <w:pBdr>
          <w:bottom w:val="single" w:sz="6" w:space="6" w:color="5B2D8E"/>
        </w:pBdr>
      </w:pPr>
      <w:r>
        <w:t>Ege Ürojinekoloji Workshop: Program Felsefesi</w:t>
      </w:r>
    </w:p>
    <w:p w:rsidR="00560C32" w:rsidRDefault="00000000">
      <w:pPr>
        <w:spacing w:before="80" w:after="80" w:line="320" w:lineRule="auto"/>
        <w:jc w:val="both"/>
      </w:pPr>
      <w:r>
        <w:rPr>
          <w:color w:val="333333"/>
        </w:rPr>
        <w:t>Ege Ürojinekoloji Workshop, ürojinekoloji alanında klinik yetkinliği artırmaya yönelik, kanıt temelli ve uygulamalı eğitimi ön plana çıkaran bir sürekli tıp eğitimi platformudur. İki günlük yoğun format; teorik bilgi aktarımını, realistik maket uygulamalarını ve hands-on istasyonları bir arada sunmaktadır.</w:t>
      </w:r>
    </w:p>
    <w:p w:rsidR="00560C32" w:rsidRDefault="00000000">
      <w:pPr>
        <w:spacing w:before="80" w:after="80" w:line="320" w:lineRule="auto"/>
        <w:jc w:val="both"/>
      </w:pPr>
      <w:r>
        <w:rPr>
          <w:color w:val="333333"/>
        </w:rPr>
        <w:t>Workshop'un temel felsefesi şudur: Ürojinekolojide klinik başarı, anatomiyi iyi bilmek ile doğru hastaya doğru tedaviyi doğru teknikle uygulamak arasındaki köprüyü kurmaktan geçer. Bu köprünün kurulabilmesi için teorik bilginin simülasyon ve kadavra uygulamalarıyla pekiştirilmesi şarttır.</w:t>
      </w:r>
    </w:p>
    <w:p w:rsidR="00560C32" w:rsidRDefault="00560C3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C3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EAF8"/>
            <w:tcMar>
              <w:top w:w="160" w:type="dxa"/>
              <w:left w:w="200" w:type="dxa"/>
              <w:bottom w:w="160" w:type="dxa"/>
              <w:right w:w="200" w:type="dxa"/>
            </w:tcMar>
          </w:tcPr>
          <w:p w:rsidR="00560C32" w:rsidRDefault="00000000">
            <w:pPr>
              <w:spacing w:after="80"/>
            </w:pPr>
            <w:r>
              <w:rPr>
                <w:b/>
                <w:bCs/>
                <w:color w:val="5B2D8E"/>
              </w:rPr>
              <w:t>Workshop'un Temel Öğrenme Hedefleri</w:t>
            </w:r>
          </w:p>
          <w:p w:rsidR="00560C32" w:rsidRDefault="00000000">
            <w:pPr>
              <w:spacing w:before="40" w:after="40"/>
            </w:pPr>
            <w:r>
              <w:rPr>
                <w:color w:val="333333"/>
                <w:sz w:val="20"/>
                <w:szCs w:val="20"/>
              </w:rPr>
              <w:t>• POP'un kompartman bazlı değerlendirmesini ve POP-Q ölçümünü doğru uygulamak</w:t>
            </w:r>
          </w:p>
          <w:p w:rsidR="00560C32" w:rsidRDefault="00000000">
            <w:pPr>
              <w:spacing w:before="40" w:after="40"/>
            </w:pPr>
            <w:r>
              <w:rPr>
                <w:color w:val="333333"/>
                <w:sz w:val="20"/>
                <w:szCs w:val="20"/>
              </w:rPr>
              <w:t>• Güncel klinik kılavuzları yorumlayarak bireyselleştirilmiş tedavi kararları almak</w:t>
            </w:r>
          </w:p>
          <w:p w:rsidR="00560C32" w:rsidRDefault="00000000">
            <w:pPr>
              <w:spacing w:before="40" w:after="40"/>
            </w:pPr>
            <w:r>
              <w:rPr>
                <w:color w:val="333333"/>
                <w:sz w:val="20"/>
                <w:szCs w:val="20"/>
              </w:rPr>
              <w:t>• Konservatif, farmakolojik ve cerrahi tedavi seçeneklerini kanıt düzeyiyle sınıflandırmak</w:t>
            </w:r>
          </w:p>
          <w:p w:rsidR="00560C32" w:rsidRDefault="00000000">
            <w:pPr>
              <w:spacing w:before="40" w:after="40"/>
            </w:pPr>
            <w:r>
              <w:rPr>
                <w:color w:val="333333"/>
                <w:sz w:val="20"/>
                <w:szCs w:val="20"/>
              </w:rPr>
              <w:t>• Rekonstrüktif cerrahi teknik seçimini anatomik bulgular ve hasta özelliklerine göre gerekçelendirmek</w:t>
            </w:r>
          </w:p>
          <w:p w:rsidR="00560C32" w:rsidRDefault="00000000">
            <w:pPr>
              <w:spacing w:before="40" w:after="40"/>
            </w:pPr>
            <w:r>
              <w:rPr>
                <w:color w:val="333333"/>
                <w:sz w:val="20"/>
                <w:szCs w:val="20"/>
              </w:rPr>
              <w:t>• Laparoskopik sakrokolpopeksi ve vajinal apikal süspansiyon prosedürlerinin teknik adımlarını simülasyon ortamında uygulamak</w:t>
            </w:r>
          </w:p>
          <w:p w:rsidR="00560C32" w:rsidRDefault="00000000">
            <w:pPr>
              <w:spacing w:before="40" w:after="40"/>
            </w:pPr>
            <w:r>
              <w:rPr>
                <w:color w:val="333333"/>
                <w:sz w:val="20"/>
                <w:szCs w:val="20"/>
              </w:rPr>
              <w:lastRenderedPageBreak/>
              <w:t>• Komplikasyon senaryolarını tanımak ve yönetim algoritmalarını uygulamak</w:t>
            </w:r>
          </w:p>
        </w:tc>
      </w:tr>
    </w:tbl>
    <w:p w:rsidR="00560C32" w:rsidRDefault="00560C32">
      <w:pPr>
        <w:spacing w:before="80" w:after="80"/>
      </w:pPr>
    </w:p>
    <w:p w:rsidR="00560C32" w:rsidRDefault="00000000">
      <w:pPr>
        <w:spacing w:before="80" w:after="80" w:line="320" w:lineRule="auto"/>
        <w:jc w:val="both"/>
      </w:pPr>
      <w:r>
        <w:rPr>
          <w:color w:val="333333"/>
        </w:rPr>
        <w:t>Her workshop döngüsü; o dönem için belirlenen odak konu ve prosedür çerçevesinde içerik açısından güncellenmektedir. Katılımcılar; uzman cerrahlar, interaktif vaka tartışmaları ve uygulamalı istasyonlar aracılığıyla klinik problem çözme becerilerini geliştirme fırsatı bulmaktadır.</w:t>
      </w:r>
    </w:p>
    <w:p w:rsidR="00560C32" w:rsidRDefault="00560C32">
      <w:pPr>
        <w:spacing w:before="80" w:after="80"/>
      </w:pPr>
    </w:p>
    <w:p w:rsidR="00560C32" w:rsidRDefault="00000000">
      <w:pPr>
        <w:pStyle w:val="Heading1"/>
        <w:pBdr>
          <w:bottom w:val="single" w:sz="6" w:space="6" w:color="5B2D8E"/>
        </w:pBdr>
      </w:pPr>
      <w:r>
        <w:t>Temel Referanslar</w:t>
      </w:r>
    </w:p>
    <w:p w:rsidR="00560C32" w:rsidRDefault="00000000">
      <w:pPr>
        <w:pStyle w:val="ListParagraph"/>
        <w:numPr>
          <w:ilvl w:val="0"/>
          <w:numId w:val="2"/>
        </w:numPr>
        <w:spacing w:before="60" w:after="60"/>
      </w:pPr>
      <w:r>
        <w:rPr>
          <w:color w:val="333333"/>
        </w:rPr>
        <w:t>ICS/IUGA – Pelvik Taban Terminoloji ve POP-Q Kılavuzu</w:t>
      </w:r>
    </w:p>
    <w:p w:rsidR="00560C32" w:rsidRDefault="00000000">
      <w:pPr>
        <w:pStyle w:val="ListParagraph"/>
        <w:numPr>
          <w:ilvl w:val="0"/>
          <w:numId w:val="2"/>
        </w:numPr>
        <w:spacing w:before="60" w:after="60"/>
      </w:pPr>
      <w:r>
        <w:rPr>
          <w:color w:val="333333"/>
        </w:rPr>
        <w:t>EAU/EUGA Guidelines on Pelvic Organ Prolapse – Güncel Baskı</w:t>
      </w:r>
    </w:p>
    <w:p w:rsidR="00560C32" w:rsidRDefault="00000000">
      <w:pPr>
        <w:pStyle w:val="ListParagraph"/>
        <w:numPr>
          <w:ilvl w:val="0"/>
          <w:numId w:val="2"/>
        </w:numPr>
        <w:spacing w:before="60" w:after="60"/>
      </w:pPr>
      <w:r>
        <w:rPr>
          <w:color w:val="333333"/>
        </w:rPr>
        <w:t>ACOG Practice Bulletin – Pelvic Organ Prolapse (No. 214)</w:t>
      </w:r>
    </w:p>
    <w:p w:rsidR="00560C32" w:rsidRDefault="00000000">
      <w:pPr>
        <w:pStyle w:val="ListParagraph"/>
        <w:numPr>
          <w:ilvl w:val="0"/>
          <w:numId w:val="2"/>
        </w:numPr>
        <w:spacing w:before="60" w:after="60"/>
      </w:pPr>
      <w:r>
        <w:rPr>
          <w:color w:val="333333"/>
        </w:rPr>
        <w:t>NICE Guideline NG123 – Urinary Incontinence and Pelvic Organ Prolapse in Women</w:t>
      </w:r>
    </w:p>
    <w:p w:rsidR="00560C32" w:rsidRDefault="00000000">
      <w:pPr>
        <w:pStyle w:val="ListParagraph"/>
        <w:numPr>
          <w:ilvl w:val="0"/>
          <w:numId w:val="2"/>
        </w:numPr>
        <w:spacing w:before="60" w:after="60"/>
      </w:pPr>
      <w:r>
        <w:rPr>
          <w:color w:val="333333"/>
        </w:rPr>
        <w:t>Cochrane Review – Surgical management of pelvic organ prolapse in women</w:t>
      </w:r>
    </w:p>
    <w:p w:rsidR="00560C32" w:rsidRDefault="00000000">
      <w:pPr>
        <w:pStyle w:val="ListParagraph"/>
        <w:numPr>
          <w:ilvl w:val="0"/>
          <w:numId w:val="2"/>
        </w:numPr>
        <w:spacing w:before="60" w:after="60"/>
      </w:pPr>
      <w:r>
        <w:rPr>
          <w:color w:val="333333"/>
        </w:rPr>
        <w:t>Türk Jinekoloji ve Obstetrik Derneği – POP Ulusal Kılavuzu</w:t>
      </w:r>
    </w:p>
    <w:p w:rsidR="00560C32" w:rsidRDefault="00560C32">
      <w:pPr>
        <w:spacing w:before="80" w:after="80"/>
      </w:pPr>
    </w:p>
    <w:p w:rsidR="00560C32" w:rsidRDefault="00000000">
      <w:pPr>
        <w:pBdr>
          <w:top w:val="single" w:sz="4" w:space="8" w:color="5B2D8E"/>
        </w:pBdr>
        <w:spacing w:before="200"/>
        <w:jc w:val="center"/>
      </w:pPr>
      <w:r>
        <w:rPr>
          <w:color w:val="999999"/>
          <w:sz w:val="18"/>
          <w:szCs w:val="18"/>
        </w:rPr>
        <w:t>© 2025 Ege Ürojinekoloji Workshop | egeurojinekoloji.com</w:t>
      </w:r>
    </w:p>
    <w:sectPr w:rsidR="00560C32">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E68C1" w:rsidRDefault="007E68C1">
      <w:r>
        <w:separator/>
      </w:r>
    </w:p>
  </w:endnote>
  <w:endnote w:type="continuationSeparator" w:id="0">
    <w:p w:rsidR="007E68C1" w:rsidRDefault="007E6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0C32" w:rsidRDefault="00000000">
    <w:pPr>
      <w:pBdr>
        <w:top w:val="single" w:sz="4" w:space="4" w:color="CCCCCC"/>
      </w:pBdr>
      <w:tabs>
        <w:tab w:val="right" w:pos="9026"/>
      </w:tabs>
    </w:pPr>
    <w:r>
      <w:rPr>
        <w:color w:val="999999"/>
        <w:sz w:val="18"/>
        <w:szCs w:val="18"/>
      </w:rPr>
      <w:t>Pelvik Organ Prolapsusu: Evreleme, Tanı ve Cerrahi Yönetim</w:t>
    </w:r>
    <w:r>
      <w:rPr>
        <w:sz w:val="18"/>
        <w:szCs w:val="18"/>
      </w:rPr>
      <w:tab/>
    </w:r>
    <w:r>
      <w:rPr>
        <w:color w:val="999999"/>
        <w:sz w:val="18"/>
        <w:szCs w:val="18"/>
      </w:rPr>
      <w:fldChar w:fldCharType="begin"/>
    </w:r>
    <w:r>
      <w:rPr>
        <w:color w:val="999999"/>
        <w:sz w:val="18"/>
        <w:szCs w:val="18"/>
      </w:rPr>
      <w:instrText>PAGE</w:instrText>
    </w:r>
    <w:r>
      <w:rPr>
        <w:color w:val="999999"/>
        <w:sz w:val="18"/>
        <w:szCs w:val="18"/>
      </w:rPr>
      <w:fldChar w:fldCharType="separate"/>
    </w:r>
    <w:r w:rsidR="00BC7A26">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E68C1" w:rsidRDefault="007E68C1">
      <w:r>
        <w:separator/>
      </w:r>
    </w:p>
  </w:footnote>
  <w:footnote w:type="continuationSeparator" w:id="0">
    <w:p w:rsidR="007E68C1" w:rsidRDefault="007E68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506"/>
    </w:tblGrid>
    <w:tr w:rsidR="00560C32">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560C32" w:rsidRDefault="00000000">
          <w:r>
            <w:rPr>
              <w:b/>
              <w:bCs/>
              <w:color w:val="5B2D8E"/>
              <w:sz w:val="18"/>
              <w:szCs w:val="18"/>
            </w:rPr>
            <w:t>EGE ÜROJİNEKOLOJİ WORKSHOP</w:t>
          </w:r>
        </w:p>
      </w:tc>
      <w:tc>
        <w:tcPr>
          <w:tcW w:w="250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560C32" w:rsidRDefault="00000000">
          <w:pPr>
            <w:jc w:val="right"/>
          </w:pPr>
          <w:r>
            <w:rPr>
              <w:color w:val="999999"/>
              <w:sz w:val="18"/>
              <w:szCs w:val="18"/>
            </w:rPr>
            <w:t>KLİNİK YAZI | 2025</w:t>
          </w:r>
        </w:p>
      </w:tc>
    </w:tr>
  </w:tbl>
  <w:p w:rsidR="00560C32" w:rsidRDefault="00560C32">
    <w:pPr>
      <w:pBdr>
        <w:bottom w:val="single" w:sz="4" w:space="4" w:color="5B2D8E"/>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4063"/>
    <w:multiLevelType w:val="hybridMultilevel"/>
    <w:tmpl w:val="95100D84"/>
    <w:lvl w:ilvl="0" w:tplc="BE9627BA">
      <w:start w:val="1"/>
      <w:numFmt w:val="bullet"/>
      <w:lvlText w:val="•"/>
      <w:lvlJc w:val="left"/>
      <w:pPr>
        <w:ind w:left="720" w:hanging="360"/>
      </w:pPr>
    </w:lvl>
    <w:lvl w:ilvl="1" w:tplc="63D669B2">
      <w:numFmt w:val="decimal"/>
      <w:lvlText w:val=""/>
      <w:lvlJc w:val="left"/>
    </w:lvl>
    <w:lvl w:ilvl="2" w:tplc="502E530C">
      <w:numFmt w:val="decimal"/>
      <w:lvlText w:val=""/>
      <w:lvlJc w:val="left"/>
    </w:lvl>
    <w:lvl w:ilvl="3" w:tplc="861098D6">
      <w:numFmt w:val="decimal"/>
      <w:lvlText w:val=""/>
      <w:lvlJc w:val="left"/>
    </w:lvl>
    <w:lvl w:ilvl="4" w:tplc="D55E380C">
      <w:numFmt w:val="decimal"/>
      <w:lvlText w:val=""/>
      <w:lvlJc w:val="left"/>
    </w:lvl>
    <w:lvl w:ilvl="5" w:tplc="6F28D388">
      <w:numFmt w:val="decimal"/>
      <w:lvlText w:val=""/>
      <w:lvlJc w:val="left"/>
    </w:lvl>
    <w:lvl w:ilvl="6" w:tplc="C4488F16">
      <w:numFmt w:val="decimal"/>
      <w:lvlText w:val=""/>
      <w:lvlJc w:val="left"/>
    </w:lvl>
    <w:lvl w:ilvl="7" w:tplc="C99C1B82">
      <w:numFmt w:val="decimal"/>
      <w:lvlText w:val=""/>
      <w:lvlJc w:val="left"/>
    </w:lvl>
    <w:lvl w:ilvl="8" w:tplc="A0B49B24">
      <w:numFmt w:val="decimal"/>
      <w:lvlText w:val=""/>
      <w:lvlJc w:val="left"/>
    </w:lvl>
  </w:abstractNum>
  <w:abstractNum w:abstractNumId="1" w15:restartNumberingAfterBreak="0">
    <w:nsid w:val="5E664A34"/>
    <w:multiLevelType w:val="hybridMultilevel"/>
    <w:tmpl w:val="F1AA9776"/>
    <w:lvl w:ilvl="0" w:tplc="FAD4308C">
      <w:start w:val="1"/>
      <w:numFmt w:val="bullet"/>
      <w:lvlText w:val="●"/>
      <w:lvlJc w:val="left"/>
      <w:pPr>
        <w:ind w:left="720" w:hanging="360"/>
      </w:pPr>
    </w:lvl>
    <w:lvl w:ilvl="1" w:tplc="B266A42E">
      <w:start w:val="1"/>
      <w:numFmt w:val="bullet"/>
      <w:lvlText w:val="○"/>
      <w:lvlJc w:val="left"/>
      <w:pPr>
        <w:ind w:left="1440" w:hanging="360"/>
      </w:pPr>
    </w:lvl>
    <w:lvl w:ilvl="2" w:tplc="1C0A0A96">
      <w:start w:val="1"/>
      <w:numFmt w:val="bullet"/>
      <w:lvlText w:val="■"/>
      <w:lvlJc w:val="left"/>
      <w:pPr>
        <w:ind w:left="2160" w:hanging="360"/>
      </w:pPr>
    </w:lvl>
    <w:lvl w:ilvl="3" w:tplc="69DCB1C2">
      <w:start w:val="1"/>
      <w:numFmt w:val="bullet"/>
      <w:lvlText w:val="●"/>
      <w:lvlJc w:val="left"/>
      <w:pPr>
        <w:ind w:left="2880" w:hanging="360"/>
      </w:pPr>
    </w:lvl>
    <w:lvl w:ilvl="4" w:tplc="DFCE966C">
      <w:start w:val="1"/>
      <w:numFmt w:val="bullet"/>
      <w:lvlText w:val="○"/>
      <w:lvlJc w:val="left"/>
      <w:pPr>
        <w:ind w:left="3600" w:hanging="360"/>
      </w:pPr>
    </w:lvl>
    <w:lvl w:ilvl="5" w:tplc="49D49884">
      <w:start w:val="1"/>
      <w:numFmt w:val="bullet"/>
      <w:lvlText w:val="■"/>
      <w:lvlJc w:val="left"/>
      <w:pPr>
        <w:ind w:left="4320" w:hanging="360"/>
      </w:pPr>
    </w:lvl>
    <w:lvl w:ilvl="6" w:tplc="6E2AAC76">
      <w:start w:val="1"/>
      <w:numFmt w:val="bullet"/>
      <w:lvlText w:val="●"/>
      <w:lvlJc w:val="left"/>
      <w:pPr>
        <w:ind w:left="5040" w:hanging="360"/>
      </w:pPr>
    </w:lvl>
    <w:lvl w:ilvl="7" w:tplc="B30A33C0">
      <w:start w:val="1"/>
      <w:numFmt w:val="bullet"/>
      <w:lvlText w:val="●"/>
      <w:lvlJc w:val="left"/>
      <w:pPr>
        <w:ind w:left="5760" w:hanging="360"/>
      </w:pPr>
    </w:lvl>
    <w:lvl w:ilvl="8" w:tplc="C46ABBDE">
      <w:start w:val="1"/>
      <w:numFmt w:val="bullet"/>
      <w:lvlText w:val="●"/>
      <w:lvlJc w:val="left"/>
      <w:pPr>
        <w:ind w:left="6480" w:hanging="360"/>
      </w:pPr>
    </w:lvl>
  </w:abstractNum>
  <w:num w:numId="1" w16cid:durableId="55520533">
    <w:abstractNumId w:val="1"/>
    <w:lvlOverride w:ilvl="0">
      <w:startOverride w:val="1"/>
    </w:lvlOverride>
  </w:num>
  <w:num w:numId="2" w16cid:durableId="1228758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C32"/>
    <w:rsid w:val="00560C32"/>
    <w:rsid w:val="007E68C1"/>
    <w:rsid w:val="00BC7A2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5:docId w15:val="{04393C3C-56A8-A640-8A61-D395D5120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5B2D8E"/>
      <w:sz w:val="28"/>
      <w:szCs w:val="28"/>
    </w:rPr>
  </w:style>
  <w:style w:type="paragraph" w:styleId="Heading2">
    <w:name w:val="heading 2"/>
    <w:uiPriority w:val="9"/>
    <w:unhideWhenUsed/>
    <w:qFormat/>
    <w:pPr>
      <w:spacing w:before="240" w:after="120"/>
      <w:outlineLvl w:val="1"/>
    </w:pPr>
    <w:rPr>
      <w:b/>
      <w:bCs/>
      <w:color w:val="1A2B3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1290</Words>
  <Characters>8224</Characters>
  <Application>Microsoft Office Word</Application>
  <DocSecurity>0</DocSecurity>
  <Lines>152</Lines>
  <Paragraphs>56</Paragraphs>
  <ScaleCrop>false</ScaleCrop>
  <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Ahmet Özgür Yeniel</cp:lastModifiedBy>
  <cp:revision>2</cp:revision>
  <dcterms:created xsi:type="dcterms:W3CDTF">2026-03-31T07:18:00Z</dcterms:created>
  <dcterms:modified xsi:type="dcterms:W3CDTF">2026-03-31T07:18:00Z</dcterms:modified>
</cp:coreProperties>
</file>