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D17613">
        <w:tblPrEx>
          <w:tblCellMar>
            <w:top w:w="0" w:type="dxa"/>
            <w:bottom w:w="0" w:type="dxa"/>
          </w:tblCellMar>
        </w:tblPrEx>
        <w:tc>
          <w:tcPr>
            <w:tcW w:w="9506" w:type="dxa"/>
            <w:tcBorders>
              <w:top w:val="single" w:sz="1" w:space="0" w:color="CCCCCC"/>
              <w:left w:val="single" w:sz="1" w:space="0" w:color="CCCCCC"/>
              <w:bottom w:val="single" w:sz="1" w:space="0" w:color="CCCCCC"/>
              <w:right w:val="single" w:sz="1" w:space="0" w:color="CCCCCC"/>
            </w:tcBorders>
            <w:shd w:val="clear" w:color="auto" w:fill="1A6B45"/>
            <w:tcMar>
              <w:top w:w="400" w:type="dxa"/>
              <w:left w:w="400" w:type="dxa"/>
              <w:bottom w:w="400" w:type="dxa"/>
              <w:right w:w="400" w:type="dxa"/>
            </w:tcMar>
          </w:tcPr>
          <w:p w:rsidR="00D17613" w:rsidRDefault="00000000">
            <w:pPr>
              <w:spacing w:after="120"/>
              <w:jc w:val="center"/>
            </w:pPr>
            <w:r>
              <w:rPr>
                <w:color w:val="FFFFFF"/>
                <w:sz w:val="20"/>
                <w:szCs w:val="20"/>
              </w:rPr>
              <w:t>EGE ÜROJİNEKOLOJİ WORKSHOP</w:t>
            </w:r>
          </w:p>
          <w:p w:rsidR="00D17613" w:rsidRDefault="00000000">
            <w:pPr>
              <w:spacing w:after="200"/>
              <w:jc w:val="center"/>
            </w:pPr>
            <w:r>
              <w:rPr>
                <w:color w:val="AADDCC"/>
                <w:sz w:val="20"/>
                <w:szCs w:val="20"/>
              </w:rPr>
              <w:t>Klinik Yazı</w:t>
            </w:r>
          </w:p>
          <w:p w:rsidR="00D17613" w:rsidRDefault="00000000">
            <w:pPr>
              <w:spacing w:after="160"/>
              <w:jc w:val="center"/>
            </w:pPr>
            <w:r>
              <w:rPr>
                <w:b/>
                <w:bCs/>
                <w:color w:val="FFFFFF"/>
                <w:sz w:val="36"/>
                <w:szCs w:val="36"/>
              </w:rPr>
              <w:t>ÜROJİNEKOLOJİDE CERRAHİ TEKNİKLER</w:t>
            </w:r>
          </w:p>
          <w:p w:rsidR="00D17613" w:rsidRDefault="00000000">
            <w:pPr>
              <w:jc w:val="center"/>
            </w:pPr>
            <w:r>
              <w:rPr>
                <w:color w:val="DDEEFF"/>
                <w:sz w:val="26"/>
                <w:szCs w:val="26"/>
              </w:rPr>
              <w:t>Kapsamlı Yaklaşım Rehberi</w:t>
            </w:r>
          </w:p>
        </w:tc>
      </w:tr>
    </w:tbl>
    <w:p w:rsidR="00D17613" w:rsidRDefault="00D17613">
      <w:pPr>
        <w:spacing w:before="80" w:after="80"/>
      </w:pPr>
    </w:p>
    <w:p w:rsidR="00D17613" w:rsidRDefault="00000000">
      <w:pPr>
        <w:pStyle w:val="Heading1"/>
        <w:pBdr>
          <w:bottom w:val="single" w:sz="6" w:space="6" w:color="1A6B45"/>
        </w:pBdr>
      </w:pPr>
      <w:r>
        <w:t>Giriş</w:t>
      </w:r>
    </w:p>
    <w:p w:rsidR="00D17613" w:rsidRDefault="00000000">
      <w:pPr>
        <w:spacing w:before="80" w:after="80" w:line="320" w:lineRule="auto"/>
        <w:jc w:val="both"/>
      </w:pPr>
      <w:r>
        <w:rPr>
          <w:color w:val="333333"/>
        </w:rPr>
        <w:t>Ürojinekoloji, pelvik taban anatomisine derinlemesine hakimiyeti; fonksiyonel ve rekonstrüktif cerrahi yetkinlikle birleştiren bir uzmanlık alanıdır. Son iki dekatta minimal invaziv yaklaşımların gelişimi, robotik platformların yaygınlaşması ve örgü materyallerine ilişkin kanıtların birikimi, cerrahi karar alma süreçlerini köklü biçimde dönüştürmüştür.</w:t>
      </w:r>
    </w:p>
    <w:p w:rsidR="00D17613" w:rsidRDefault="00000000">
      <w:pPr>
        <w:spacing w:before="80" w:after="80" w:line="320" w:lineRule="auto"/>
        <w:jc w:val="both"/>
      </w:pPr>
      <w:r>
        <w:rPr>
          <w:color w:val="333333"/>
        </w:rPr>
        <w:t>Bu yazı; ürojinekolojik cerrahinin temel prosedürlerini, hasta seçim kriterlerini, teknik adımları ve komplikasyon yönetimini uzman hekim perspektifinden ele almaktadır. Ege Ürojinekoloji Workshop eğitim programının bir parçası olarak hazırlanmıştır.</w:t>
      </w:r>
    </w:p>
    <w:p w:rsidR="00D17613" w:rsidRDefault="00D17613">
      <w:pPr>
        <w:spacing w:before="80" w:after="80"/>
      </w:pPr>
    </w:p>
    <w:p w:rsidR="00D17613" w:rsidRDefault="00000000">
      <w:pPr>
        <w:pStyle w:val="Heading1"/>
        <w:pBdr>
          <w:bottom w:val="single" w:sz="6" w:space="6" w:color="1A6B45"/>
        </w:pBdr>
      </w:pPr>
      <w:r>
        <w:t>Pelvik Taban Anatomisi: Cerrahi Perspektif</w:t>
      </w:r>
    </w:p>
    <w:p w:rsidR="00D17613" w:rsidRDefault="00000000">
      <w:pPr>
        <w:spacing w:before="80" w:after="80" w:line="320" w:lineRule="auto"/>
        <w:jc w:val="both"/>
      </w:pPr>
      <w:r>
        <w:rPr>
          <w:color w:val="333333"/>
        </w:rPr>
        <w:t>Başarılı ürojinekolojik cerrahi, pelvik taban anatomisinin üç boyutlu kavranmasını gerektirir. Pelvik taban; kas katmanları (levator ani kompleksi), bağ dokusu yapıları (endopelvik fasya, ligamanlar) ve nörovasküler yapılardan oluşan karmaşık bir sistemdir. Bu yapıların cerrahi alandaki anatomik ilişkilerinin bilinmesi; hem güvenli diseksiyonu hem de kalıcı fonksiyonel başarıyı doğrudan belirlemektedir.</w:t>
      </w:r>
    </w:p>
    <w:p w:rsidR="00D17613" w:rsidRDefault="00D1761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61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E"/>
            <w:tcMar>
              <w:top w:w="160" w:type="dxa"/>
              <w:left w:w="200" w:type="dxa"/>
              <w:bottom w:w="160" w:type="dxa"/>
              <w:right w:w="200" w:type="dxa"/>
            </w:tcMar>
          </w:tcPr>
          <w:p w:rsidR="00D17613" w:rsidRDefault="00000000">
            <w:pPr>
              <w:spacing w:after="80"/>
            </w:pPr>
            <w:r>
              <w:rPr>
                <w:b/>
                <w:bCs/>
                <w:color w:val="1A6B45"/>
              </w:rPr>
              <w:t>Kritik Anatomik Referans Noktaları</w:t>
            </w:r>
          </w:p>
          <w:p w:rsidR="00D17613" w:rsidRDefault="00000000">
            <w:pPr>
              <w:spacing w:before="40" w:after="40"/>
            </w:pPr>
            <w:r>
              <w:rPr>
                <w:color w:val="333333"/>
                <w:sz w:val="20"/>
                <w:szCs w:val="20"/>
              </w:rPr>
              <w:t>• Arcus tendineus fascia pelvis (ATFP) — Anterior onarımın temel ankraj noktası; palpe edilebilir güçlü anterior segment</w:t>
            </w:r>
          </w:p>
          <w:p w:rsidR="00D17613" w:rsidRDefault="00000000">
            <w:pPr>
              <w:spacing w:before="40" w:after="40"/>
            </w:pPr>
            <w:r>
              <w:rPr>
                <w:color w:val="333333"/>
                <w:sz w:val="20"/>
                <w:szCs w:val="20"/>
              </w:rPr>
              <w:t>• Sakrospinöz ligaman — Apikal süspansiyon prosedürlerinin (SSLF) temel hedefi</w:t>
            </w:r>
          </w:p>
          <w:p w:rsidR="00D17613" w:rsidRDefault="00000000">
            <w:pPr>
              <w:spacing w:before="40" w:after="40"/>
            </w:pPr>
            <w:r>
              <w:rPr>
                <w:color w:val="333333"/>
                <w:sz w:val="20"/>
                <w:szCs w:val="20"/>
              </w:rPr>
              <w:t>• Uterosakral ligamanlar — Doğal apikal destek; USLS prosedüründe kullanılır</w:t>
            </w:r>
          </w:p>
          <w:p w:rsidR="00D17613" w:rsidRDefault="00000000">
            <w:pPr>
              <w:spacing w:before="40" w:after="40"/>
            </w:pPr>
            <w:r>
              <w:rPr>
                <w:color w:val="333333"/>
                <w:sz w:val="20"/>
                <w:szCs w:val="20"/>
              </w:rPr>
              <w:t>• İliokoksigeus kası — Laparoskopik prosedürlerde trokar yerleşimi ve iliokoksigeal fiksasyon için</w:t>
            </w:r>
          </w:p>
          <w:p w:rsidR="00D17613" w:rsidRDefault="00000000">
            <w:pPr>
              <w:spacing w:before="40" w:after="40"/>
            </w:pPr>
            <w:r>
              <w:rPr>
                <w:color w:val="333333"/>
                <w:sz w:val="20"/>
                <w:szCs w:val="20"/>
              </w:rPr>
              <w:t>• Üreter anatomisi — Tüm apikal ve ön duvar prosedürlerinde sistoskopi ile doğrulanmalıdır</w:t>
            </w:r>
          </w:p>
          <w:p w:rsidR="00D17613" w:rsidRDefault="00000000">
            <w:pPr>
              <w:spacing w:before="40" w:after="40"/>
            </w:pPr>
            <w:r>
              <w:rPr>
                <w:color w:val="333333"/>
                <w:sz w:val="20"/>
                <w:szCs w:val="20"/>
              </w:rPr>
              <w:t>• Sakral promontoryum — Sakrokolpopeksinin fiksasyon noktası; L5-S1 diski seviyesinde</w:t>
            </w:r>
          </w:p>
        </w:tc>
      </w:tr>
    </w:tbl>
    <w:p w:rsidR="00D17613" w:rsidRDefault="00D17613">
      <w:pPr>
        <w:spacing w:before="80" w:after="80"/>
      </w:pPr>
    </w:p>
    <w:p w:rsidR="00D17613" w:rsidRDefault="00000000">
      <w:pPr>
        <w:pStyle w:val="Heading1"/>
        <w:pBdr>
          <w:bottom w:val="single" w:sz="6" w:space="6" w:color="1A6B45"/>
        </w:pBdr>
      </w:pPr>
      <w:r>
        <w:t>İnkontinans Cerrahisi</w:t>
      </w:r>
    </w:p>
    <w:p w:rsidR="00D17613" w:rsidRDefault="00000000">
      <w:pPr>
        <w:pStyle w:val="Heading2"/>
      </w:pPr>
      <w:r>
        <w:t>Midüretral Sling Prosedürleri</w:t>
      </w:r>
    </w:p>
    <w:p w:rsidR="00D17613" w:rsidRDefault="00000000">
      <w:pPr>
        <w:spacing w:before="80" w:after="80" w:line="320" w:lineRule="auto"/>
        <w:jc w:val="both"/>
      </w:pPr>
      <w:r>
        <w:rPr>
          <w:color w:val="333333"/>
        </w:rPr>
        <w:lastRenderedPageBreak/>
        <w:t>Midüretral sling prosedürleri, stres üriner inkontinansın cerrahi tedavisinde uluslararası kılavuzların birinci basamak seçeneği olarak önerdiği, uzun dönem yüksek başarı oranlarına sahip minimal invaziv işlemlerdir. Teknik seçim; hastanın SÜİ şiddeti, anatomisi, eşlik eden prolapsus durumu ve cerrahın deneyimine göre bireyselleştirilmelidir.</w:t>
      </w:r>
    </w:p>
    <w:p w:rsidR="00D17613" w:rsidRDefault="00D17613">
      <w:pPr>
        <w:spacing w:before="80"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9"/>
        <w:gridCol w:w="1893"/>
        <w:gridCol w:w="5234"/>
      </w:tblGrid>
      <w:tr w:rsidR="00D1761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6B45"/>
            <w:tcMar>
              <w:top w:w="100" w:type="dxa"/>
              <w:left w:w="140" w:type="dxa"/>
              <w:bottom w:w="100" w:type="dxa"/>
              <w:right w:w="140" w:type="dxa"/>
            </w:tcMar>
          </w:tcPr>
          <w:p w:rsidR="00D17613" w:rsidRDefault="00000000">
            <w:r>
              <w:rPr>
                <w:b/>
                <w:bCs/>
                <w:color w:val="FFFFFF"/>
                <w:sz w:val="21"/>
                <w:szCs w:val="21"/>
              </w:rPr>
              <w:t>Prosedür</w:t>
            </w:r>
          </w:p>
        </w:tc>
        <w:tc>
          <w:tcPr>
            <w:tcW w:w="1800" w:type="dxa"/>
            <w:tcBorders>
              <w:top w:val="single" w:sz="1" w:space="0" w:color="CCCCCC"/>
              <w:left w:val="single" w:sz="1" w:space="0" w:color="CCCCCC"/>
              <w:bottom w:val="single" w:sz="1" w:space="0" w:color="CCCCCC"/>
              <w:right w:val="single" w:sz="1" w:space="0" w:color="CCCCCC"/>
            </w:tcBorders>
            <w:shd w:val="clear" w:color="auto" w:fill="1A6B45"/>
            <w:tcMar>
              <w:top w:w="100" w:type="dxa"/>
              <w:left w:w="140" w:type="dxa"/>
              <w:bottom w:w="100" w:type="dxa"/>
              <w:right w:w="140" w:type="dxa"/>
            </w:tcMar>
          </w:tcPr>
          <w:p w:rsidR="00D17613" w:rsidRDefault="00000000">
            <w:r>
              <w:rPr>
                <w:b/>
                <w:bCs/>
                <w:color w:val="FFFFFF"/>
                <w:sz w:val="21"/>
                <w:szCs w:val="21"/>
              </w:rPr>
              <w:t>Yaklaşım</w:t>
            </w:r>
          </w:p>
        </w:tc>
        <w:tc>
          <w:tcPr>
            <w:tcW w:w="5306" w:type="dxa"/>
            <w:tcBorders>
              <w:top w:val="single" w:sz="1" w:space="0" w:color="CCCCCC"/>
              <w:left w:val="single" w:sz="1" w:space="0" w:color="CCCCCC"/>
              <w:bottom w:val="single" w:sz="1" w:space="0" w:color="CCCCCC"/>
              <w:right w:val="single" w:sz="1" w:space="0" w:color="CCCCCC"/>
            </w:tcBorders>
            <w:shd w:val="clear" w:color="auto" w:fill="1A6B45"/>
            <w:tcMar>
              <w:top w:w="100" w:type="dxa"/>
              <w:left w:w="140" w:type="dxa"/>
              <w:bottom w:w="100" w:type="dxa"/>
              <w:right w:w="140" w:type="dxa"/>
            </w:tcMar>
          </w:tcPr>
          <w:p w:rsidR="00D17613" w:rsidRDefault="00000000">
            <w:r>
              <w:rPr>
                <w:b/>
                <w:bCs/>
                <w:color w:val="FFFFFF"/>
                <w:sz w:val="21"/>
                <w:szCs w:val="21"/>
              </w:rPr>
              <w:t>Özellikler / Notlar</w:t>
            </w:r>
          </w:p>
        </w:tc>
      </w:tr>
      <w:tr w:rsidR="00D1761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D17613" w:rsidRDefault="00000000">
            <w:r>
              <w:rPr>
                <w:color w:val="333333"/>
                <w:sz w:val="20"/>
                <w:szCs w:val="20"/>
              </w:rPr>
              <w:t>TVT (Retropubik)</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D17613" w:rsidRDefault="00000000">
            <w:r>
              <w:rPr>
                <w:color w:val="333333"/>
                <w:sz w:val="20"/>
                <w:szCs w:val="20"/>
              </w:rPr>
              <w:t>Retropubik</w:t>
            </w:r>
          </w:p>
        </w:tc>
        <w:tc>
          <w:tcPr>
            <w:tcW w:w="5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D17613" w:rsidRDefault="00000000">
            <w:r>
              <w:rPr>
                <w:color w:val="333333"/>
                <w:sz w:val="20"/>
                <w:szCs w:val="20"/>
              </w:rPr>
              <w:t>Uzun dönem etkinliği en fazla kanıtlanmış; mesane perforasyonu riski; sistoskopi zorunlu</w:t>
            </w:r>
          </w:p>
        </w:tc>
      </w:tr>
      <w:tr w:rsidR="00D1761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17613" w:rsidRDefault="00000000">
            <w:r>
              <w:rPr>
                <w:color w:val="333333"/>
                <w:sz w:val="20"/>
                <w:szCs w:val="20"/>
              </w:rPr>
              <w:t>TOT / TVT-O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17613" w:rsidRDefault="00000000">
            <w:r>
              <w:rPr>
                <w:color w:val="333333"/>
                <w:sz w:val="20"/>
                <w:szCs w:val="20"/>
              </w:rPr>
              <w:t>Transobturator</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17613" w:rsidRDefault="00000000">
            <w:r>
              <w:rPr>
                <w:color w:val="333333"/>
                <w:sz w:val="20"/>
                <w:szCs w:val="20"/>
              </w:rPr>
              <w:t>Daha az vasküler risk; hafif-orta SÜİ'de ön planda; obturator sinir ve damar anatomisi kritik</w:t>
            </w:r>
          </w:p>
        </w:tc>
      </w:tr>
      <w:tr w:rsidR="00D1761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D17613" w:rsidRDefault="00000000">
            <w:r>
              <w:rPr>
                <w:color w:val="333333"/>
                <w:sz w:val="20"/>
                <w:szCs w:val="20"/>
              </w:rPr>
              <w:t>Mini Sling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D17613" w:rsidRDefault="00000000">
            <w:r>
              <w:rPr>
                <w:color w:val="333333"/>
                <w:sz w:val="20"/>
                <w:szCs w:val="20"/>
              </w:rPr>
              <w:t>Tek insizyonlu</w:t>
            </w:r>
          </w:p>
        </w:tc>
        <w:tc>
          <w:tcPr>
            <w:tcW w:w="5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D17613" w:rsidRDefault="00000000">
            <w:r>
              <w:rPr>
                <w:color w:val="333333"/>
                <w:sz w:val="20"/>
                <w:szCs w:val="20"/>
              </w:rPr>
              <w:t>Az doku travması; hızlı öğrenme eğrisi; TVT/TOT'a eşdeğer orta dönem veriler</w:t>
            </w:r>
          </w:p>
        </w:tc>
      </w:tr>
      <w:tr w:rsidR="00D1761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17613" w:rsidRDefault="00000000">
            <w:r>
              <w:rPr>
                <w:color w:val="333333"/>
                <w:sz w:val="20"/>
                <w:szCs w:val="20"/>
              </w:rPr>
              <w:t>Burch Kolposüsp.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17613" w:rsidRDefault="00000000">
            <w:r>
              <w:rPr>
                <w:color w:val="333333"/>
                <w:sz w:val="20"/>
                <w:szCs w:val="20"/>
              </w:rPr>
              <w:t>Laparoskopik/açık</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17613" w:rsidRDefault="00000000">
            <w:r>
              <w:rPr>
                <w:color w:val="333333"/>
                <w:sz w:val="20"/>
                <w:szCs w:val="20"/>
              </w:rPr>
              <w:t>Laparoskopik sakrokolpopeksi ile eş zamanlı uygulanabilir; SÜİ + apikal prolapsus birlikteliğinde</w:t>
            </w:r>
          </w:p>
        </w:tc>
      </w:tr>
    </w:tbl>
    <w:p w:rsidR="00D17613" w:rsidRDefault="00D17613">
      <w:pPr>
        <w:spacing w:before="80" w:after="80"/>
      </w:pPr>
    </w:p>
    <w:p w:rsidR="00D17613" w:rsidRDefault="00000000">
      <w:pPr>
        <w:pStyle w:val="Heading2"/>
      </w:pPr>
      <w:r>
        <w:t>İleri Nöromodülasyon Seçenekleri</w:t>
      </w:r>
    </w:p>
    <w:p w:rsidR="00D17613" w:rsidRDefault="00000000">
      <w:pPr>
        <w:spacing w:before="80" w:after="80" w:line="320" w:lineRule="auto"/>
        <w:jc w:val="both"/>
      </w:pPr>
      <w:r>
        <w:rPr>
          <w:color w:val="333333"/>
        </w:rPr>
        <w:t>Konvansiyonel tedavilere dirençli aşırı aktif mesane, non-obstrüktif üriner retansiyon ve fekal inkontinansta nöromodülasyon seçenekleri güçlü kanıt düzeyine sahiptir.</w:t>
      </w:r>
    </w:p>
    <w:p w:rsidR="00D17613" w:rsidRDefault="00D17613">
      <w:pPr>
        <w:spacing w:before="80" w:after="80"/>
      </w:pPr>
    </w:p>
    <w:p w:rsidR="00D17613" w:rsidRDefault="00000000">
      <w:pPr>
        <w:pStyle w:val="ListParagraph"/>
        <w:numPr>
          <w:ilvl w:val="0"/>
          <w:numId w:val="2"/>
        </w:numPr>
        <w:spacing w:before="60" w:after="60"/>
      </w:pPr>
      <w:r>
        <w:rPr>
          <w:color w:val="333333"/>
        </w:rPr>
        <w:t>Posterior tibial nöromodülasyon (PTNS): Minimal invaziv; 12 haftalık seans protokolü; ofis ortamında uygulanabilir</w:t>
      </w:r>
    </w:p>
    <w:p w:rsidR="00D17613" w:rsidRDefault="00000000">
      <w:pPr>
        <w:pStyle w:val="ListParagraph"/>
        <w:numPr>
          <w:ilvl w:val="0"/>
          <w:numId w:val="2"/>
        </w:numPr>
        <w:spacing w:before="60" w:after="60"/>
      </w:pPr>
      <w:r>
        <w:rPr>
          <w:color w:val="333333"/>
        </w:rPr>
        <w:t>Sakral nöromodülasyon (SNM / InterStim): S3 sakral sinir köküne implante edilebilir stimülatör; refrakter OAB ve üriner retansiyonda iki aşamalı implantasyon</w:t>
      </w:r>
    </w:p>
    <w:p w:rsidR="00D17613" w:rsidRDefault="00000000">
      <w:pPr>
        <w:pStyle w:val="ListParagraph"/>
        <w:numPr>
          <w:ilvl w:val="0"/>
          <w:numId w:val="2"/>
        </w:numPr>
        <w:spacing w:before="60" w:after="60"/>
      </w:pPr>
      <w:r>
        <w:rPr>
          <w:color w:val="333333"/>
        </w:rPr>
        <w:t>İntradetrusor botulinum toksin A enjeksiyonu: Sistoskopi eşliğinde; 100–200 Ü; 6–9 ay etkinlik süresi</w:t>
      </w:r>
    </w:p>
    <w:p w:rsidR="00D17613" w:rsidRDefault="00D17613">
      <w:pPr>
        <w:spacing w:before="80" w:after="80"/>
      </w:pPr>
    </w:p>
    <w:p w:rsidR="00D17613" w:rsidRDefault="00000000">
      <w:pPr>
        <w:pStyle w:val="Heading1"/>
        <w:pBdr>
          <w:bottom w:val="single" w:sz="6" w:space="6" w:color="1A6B45"/>
        </w:pBdr>
      </w:pPr>
      <w:r>
        <w:t>Prolapsus Cerrahisi</w:t>
      </w:r>
    </w:p>
    <w:p w:rsidR="00D17613" w:rsidRDefault="00000000">
      <w:pPr>
        <w:pStyle w:val="Heading2"/>
      </w:pPr>
      <w:r>
        <w:t>Laparoskopik ve Robotik Sakrokolpopeksi</w:t>
      </w:r>
    </w:p>
    <w:p w:rsidR="00D17613" w:rsidRDefault="00000000">
      <w:pPr>
        <w:spacing w:before="80" w:after="80" w:line="320" w:lineRule="auto"/>
        <w:jc w:val="both"/>
      </w:pPr>
      <w:r>
        <w:rPr>
          <w:color w:val="333333"/>
        </w:rPr>
        <w:t>Apikal prolapsusun cerrahi yönetiminde sakrokolpopeksi; polipropilen gretin sakral promontoryuma ve vajinal apekse yerleştirilmesiyle anatomik destek sağlayan altın standart prosedürdür. Laparoskopik ve robotik platformlar, açık cerrahiye kıyasla benzer etkinlikte, daha az kan kaybı ve daha kısa hastane yatışıyla ilişkilidir.</w:t>
      </w:r>
    </w:p>
    <w:p w:rsidR="00D17613" w:rsidRDefault="00D1761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61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E"/>
            <w:tcMar>
              <w:top w:w="160" w:type="dxa"/>
              <w:left w:w="200" w:type="dxa"/>
              <w:bottom w:w="160" w:type="dxa"/>
              <w:right w:w="200" w:type="dxa"/>
            </w:tcMar>
          </w:tcPr>
          <w:p w:rsidR="00D17613" w:rsidRDefault="00000000">
            <w:pPr>
              <w:spacing w:after="80"/>
            </w:pPr>
            <w:r>
              <w:rPr>
                <w:b/>
                <w:bCs/>
                <w:color w:val="1A6B45"/>
              </w:rPr>
              <w:t>Laparoskopik Sakrokolpopeksi: Temel Teknik Adımlar</w:t>
            </w:r>
          </w:p>
          <w:p w:rsidR="00D17613" w:rsidRDefault="00000000">
            <w:pPr>
              <w:spacing w:before="40" w:after="40"/>
            </w:pPr>
            <w:r>
              <w:rPr>
                <w:color w:val="333333"/>
                <w:sz w:val="20"/>
                <w:szCs w:val="20"/>
              </w:rPr>
              <w:t>1.  Promontoryum diseksiyonu ve ön boyuna erişim</w:t>
            </w:r>
          </w:p>
          <w:p w:rsidR="00D17613" w:rsidRDefault="00000000">
            <w:pPr>
              <w:spacing w:before="40" w:after="40"/>
            </w:pPr>
            <w:r>
              <w:rPr>
                <w:color w:val="333333"/>
                <w:sz w:val="20"/>
                <w:szCs w:val="20"/>
              </w:rPr>
              <w:t>2.  Periton açılması ve retroperitoneal diseksiyon</w:t>
            </w:r>
          </w:p>
          <w:p w:rsidR="00D17613" w:rsidRDefault="00000000">
            <w:pPr>
              <w:spacing w:before="40" w:after="40"/>
            </w:pPr>
            <w:r>
              <w:rPr>
                <w:color w:val="333333"/>
                <w:sz w:val="20"/>
                <w:szCs w:val="20"/>
              </w:rPr>
              <w:t>3.  Mesane ve rektumun vajenden dikkatli mobilizasyonu</w:t>
            </w:r>
          </w:p>
          <w:p w:rsidR="00D17613" w:rsidRDefault="00000000">
            <w:pPr>
              <w:spacing w:before="40" w:after="40"/>
            </w:pPr>
            <w:r>
              <w:rPr>
                <w:color w:val="333333"/>
                <w:sz w:val="20"/>
                <w:szCs w:val="20"/>
              </w:rPr>
              <w:t>4.  Ön ve arka vajinal duvara greft yerleştirilmesi</w:t>
            </w:r>
          </w:p>
          <w:p w:rsidR="00D17613" w:rsidRDefault="00000000">
            <w:pPr>
              <w:spacing w:before="40" w:after="40"/>
            </w:pPr>
            <w:r>
              <w:rPr>
                <w:color w:val="333333"/>
                <w:sz w:val="20"/>
                <w:szCs w:val="20"/>
              </w:rPr>
              <w:t>5.  Gretin sakruma non-absorbable sütür veya stapler ile fiksasyonu</w:t>
            </w:r>
          </w:p>
          <w:p w:rsidR="00D17613" w:rsidRDefault="00000000">
            <w:pPr>
              <w:spacing w:before="40" w:after="40"/>
            </w:pPr>
            <w:r>
              <w:rPr>
                <w:color w:val="333333"/>
                <w:sz w:val="20"/>
                <w:szCs w:val="20"/>
              </w:rPr>
              <w:t>6.  Periton kapatılması (mesh retroperitonealizasyonu)</w:t>
            </w:r>
          </w:p>
          <w:p w:rsidR="00D17613" w:rsidRDefault="00000000">
            <w:pPr>
              <w:spacing w:before="40" w:after="40"/>
            </w:pPr>
            <w:r>
              <w:rPr>
                <w:color w:val="333333"/>
                <w:sz w:val="20"/>
                <w:szCs w:val="20"/>
              </w:rPr>
              <w:lastRenderedPageBreak/>
              <w:t>7.  Sistoskopi ile üreter patentliğinin doğrulanması</w:t>
            </w:r>
          </w:p>
        </w:tc>
      </w:tr>
    </w:tbl>
    <w:p w:rsidR="00D17613" w:rsidRDefault="00D17613">
      <w:pPr>
        <w:spacing w:before="80" w:after="80"/>
      </w:pPr>
    </w:p>
    <w:p w:rsidR="00D17613" w:rsidRDefault="00000000">
      <w:pPr>
        <w:pStyle w:val="Heading2"/>
      </w:pPr>
      <w:r>
        <w:t>Native Tissue Onarım Teknikleri</w:t>
      </w:r>
    </w:p>
    <w:p w:rsidR="00D17613" w:rsidRDefault="00000000">
      <w:pPr>
        <w:spacing w:before="80" w:after="80" w:line="320" w:lineRule="auto"/>
        <w:jc w:val="both"/>
      </w:pPr>
      <w:r>
        <w:rPr>
          <w:color w:val="333333"/>
        </w:rPr>
        <w:t>Sentetik materyal kullanmaksızın otolog dokuyla gerçekleştirilen native tissue onarım prosedürleri; sakrospinöz ligaman fiksasyonu (SSLF), uterosakral ligaman süspansiyonu (USLS) ve iliokoksigeal fiksasyonu kapsar. Mesh komplikasyonundan kaçınma, uterus koruyucu yaklaşımlar ve genç hasta popülasyonunda tercih nedenleri olarak öne çıkmaktadır.</w:t>
      </w:r>
    </w:p>
    <w:p w:rsidR="00D17613" w:rsidRDefault="00D1761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61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E"/>
            <w:tcMar>
              <w:top w:w="160" w:type="dxa"/>
              <w:left w:w="200" w:type="dxa"/>
              <w:bottom w:w="160" w:type="dxa"/>
              <w:right w:w="200" w:type="dxa"/>
            </w:tcMar>
          </w:tcPr>
          <w:p w:rsidR="00D17613" w:rsidRDefault="00000000">
            <w:pPr>
              <w:spacing w:after="80"/>
            </w:pPr>
            <w:r>
              <w:rPr>
                <w:b/>
                <w:bCs/>
                <w:color w:val="1A6B45"/>
              </w:rPr>
              <w:t>Native Tissue Prosedürleri: Endikasyon ve Teknik Özellikleri</w:t>
            </w:r>
          </w:p>
          <w:p w:rsidR="00D17613" w:rsidRDefault="00000000">
            <w:pPr>
              <w:spacing w:before="40" w:after="40"/>
            </w:pPr>
            <w:r>
              <w:rPr>
                <w:color w:val="333333"/>
                <w:sz w:val="20"/>
                <w:szCs w:val="20"/>
              </w:rPr>
              <w:t>• Sakrospinöz ligaman fiksasyonu (SSLF): Vajinal yaklaşım; apikal destek; sağ taraf tercihi; pudendal sinir anatomisine dikkat</w:t>
            </w:r>
          </w:p>
          <w:p w:rsidR="00D17613" w:rsidRDefault="00000000">
            <w:pPr>
              <w:spacing w:before="40" w:after="40"/>
            </w:pPr>
            <w:r>
              <w:rPr>
                <w:color w:val="333333"/>
                <w:sz w:val="20"/>
                <w:szCs w:val="20"/>
              </w:rPr>
              <w:t>• Uterosakral ligaman süspansiyonu (USLS): Vajinal veya laparoskopik; fizyolojik apikal aks; üreter kontrolü zorunlu</w:t>
            </w:r>
          </w:p>
          <w:p w:rsidR="00D17613" w:rsidRDefault="00000000">
            <w:pPr>
              <w:spacing w:before="40" w:after="40"/>
            </w:pPr>
            <w:r>
              <w:rPr>
                <w:color w:val="333333"/>
                <w:sz w:val="20"/>
                <w:szCs w:val="20"/>
              </w:rPr>
              <w:t>• İliokoksigeal fiksasyon: Arka vajinal duvar desteği; SSLF'ye alternatif; daha az damar riski</w:t>
            </w:r>
          </w:p>
          <w:p w:rsidR="00D17613" w:rsidRDefault="00000000">
            <w:pPr>
              <w:spacing w:before="40" w:after="40"/>
            </w:pPr>
            <w:r>
              <w:rPr>
                <w:color w:val="333333"/>
                <w:sz w:val="20"/>
                <w:szCs w:val="20"/>
              </w:rPr>
              <w:t>• Histeropeksi prosedürleri: Uterusu koruyan yaklaşımlar; Manchester operasyonu ve modifikasyonları</w:t>
            </w:r>
          </w:p>
        </w:tc>
      </w:tr>
    </w:tbl>
    <w:p w:rsidR="00D17613" w:rsidRDefault="00D17613">
      <w:pPr>
        <w:spacing w:before="80" w:after="80"/>
      </w:pPr>
    </w:p>
    <w:p w:rsidR="00D17613" w:rsidRDefault="00000000">
      <w:pPr>
        <w:pStyle w:val="Heading1"/>
        <w:pBdr>
          <w:bottom w:val="single" w:sz="6" w:space="6" w:color="1A6B45"/>
        </w:pBdr>
      </w:pPr>
      <w:r>
        <w:t>Komplikasyon Önleme ve Yönetimi</w:t>
      </w:r>
    </w:p>
    <w:p w:rsidR="00D17613" w:rsidRDefault="00000000">
      <w:pPr>
        <w:pStyle w:val="Heading2"/>
      </w:pPr>
      <w:r>
        <w:t>İntraoperatif Komplikasyonlar</w:t>
      </w:r>
    </w:p>
    <w:p w:rsidR="00D17613" w:rsidRDefault="00000000">
      <w:pPr>
        <w:pStyle w:val="ListParagraph"/>
        <w:numPr>
          <w:ilvl w:val="0"/>
          <w:numId w:val="2"/>
        </w:numPr>
        <w:spacing w:before="60" w:after="60"/>
      </w:pPr>
      <w:r>
        <w:rPr>
          <w:color w:val="333333"/>
        </w:rPr>
        <w:t>Mesane yaralanması — Sistoskopi ile intraoperatif tanı zorunludur; primer onarım ve kateter drenajı</w:t>
      </w:r>
    </w:p>
    <w:p w:rsidR="00D17613" w:rsidRDefault="00000000">
      <w:pPr>
        <w:pStyle w:val="ListParagraph"/>
        <w:numPr>
          <w:ilvl w:val="0"/>
          <w:numId w:val="2"/>
        </w:numPr>
        <w:spacing w:before="60" w:after="60"/>
      </w:pPr>
      <w:r>
        <w:rPr>
          <w:color w:val="333333"/>
        </w:rPr>
        <w:t>Üreter hasarı — Apikal prosedürlerde indigo karmin veya fenazopiridin ile üreter akım kontrolü</w:t>
      </w:r>
    </w:p>
    <w:p w:rsidR="00D17613" w:rsidRDefault="00000000">
      <w:pPr>
        <w:pStyle w:val="ListParagraph"/>
        <w:numPr>
          <w:ilvl w:val="0"/>
          <w:numId w:val="2"/>
        </w:numPr>
        <w:spacing w:before="60" w:after="60"/>
      </w:pPr>
      <w:r>
        <w:rPr>
          <w:color w:val="333333"/>
        </w:rPr>
        <w:t>Vasküler hasar — Retropubik diseksiyonda iliak damarlar ve Retzius aralığı; transobturatorda obturator damar</w:t>
      </w:r>
    </w:p>
    <w:p w:rsidR="00D17613" w:rsidRDefault="00000000">
      <w:pPr>
        <w:pStyle w:val="ListParagraph"/>
        <w:numPr>
          <w:ilvl w:val="0"/>
          <w:numId w:val="2"/>
        </w:numPr>
        <w:spacing w:before="60" w:after="60"/>
      </w:pPr>
      <w:r>
        <w:rPr>
          <w:color w:val="333333"/>
        </w:rPr>
        <w:t>Bağırsak yaralanması — Endometriozis veya adezyon varlığında risk artar; dikkatli diseksiyon şarttır</w:t>
      </w:r>
    </w:p>
    <w:p w:rsidR="00D17613" w:rsidRDefault="00D17613">
      <w:pPr>
        <w:spacing w:before="80" w:after="80"/>
      </w:pPr>
    </w:p>
    <w:p w:rsidR="00D17613" w:rsidRDefault="00000000">
      <w:pPr>
        <w:pStyle w:val="Heading2"/>
      </w:pPr>
      <w:r>
        <w:t>Postoperatif Komplikasyonlar</w:t>
      </w:r>
    </w:p>
    <w:p w:rsidR="00D17613" w:rsidRDefault="00000000">
      <w:pPr>
        <w:pStyle w:val="ListParagraph"/>
        <w:numPr>
          <w:ilvl w:val="0"/>
          <w:numId w:val="2"/>
        </w:numPr>
        <w:spacing w:before="60" w:after="60"/>
      </w:pPr>
      <w:r>
        <w:rPr>
          <w:color w:val="333333"/>
        </w:rPr>
        <w:t>Mesh erozyon / ekstrüzyon — Uygun materyal seçimi, doku kalitesi ve teknik dikkatle minimize edilir; vajinal östrojen desteği</w:t>
      </w:r>
    </w:p>
    <w:p w:rsidR="00D17613" w:rsidRDefault="00000000">
      <w:pPr>
        <w:pStyle w:val="ListParagraph"/>
        <w:numPr>
          <w:ilvl w:val="0"/>
          <w:numId w:val="2"/>
        </w:numPr>
        <w:spacing w:before="60" w:after="60"/>
      </w:pPr>
      <w:r>
        <w:rPr>
          <w:color w:val="333333"/>
        </w:rPr>
        <w:t>De novo aşırı aktif mesane — %15–20 olguda görülür; antikolinerjik veya beta-3 agonist ile farmakolojik yönetim</w:t>
      </w:r>
    </w:p>
    <w:p w:rsidR="00D17613" w:rsidRDefault="00000000">
      <w:pPr>
        <w:pStyle w:val="ListParagraph"/>
        <w:numPr>
          <w:ilvl w:val="0"/>
          <w:numId w:val="2"/>
        </w:numPr>
        <w:spacing w:before="60" w:after="60"/>
      </w:pPr>
      <w:r>
        <w:rPr>
          <w:color w:val="333333"/>
        </w:rPr>
        <w:t>Disparoni — Özellikle posterior onarımlarda; aşırı gerginlikten kaçınılmalı; lokal östrojen ve pelvik taban fizyoterapisi</w:t>
      </w:r>
    </w:p>
    <w:p w:rsidR="00D17613" w:rsidRDefault="00000000">
      <w:pPr>
        <w:pStyle w:val="ListParagraph"/>
        <w:numPr>
          <w:ilvl w:val="0"/>
          <w:numId w:val="2"/>
        </w:numPr>
        <w:spacing w:before="60" w:after="60"/>
      </w:pPr>
      <w:r>
        <w:rPr>
          <w:color w:val="333333"/>
        </w:rPr>
        <w:t>Rekürrens — Risk faktörlerine yönelik preoperatif değerlendirme; uygun teknik seçimi ve uzun dönem takip</w:t>
      </w:r>
    </w:p>
    <w:p w:rsidR="00D17613" w:rsidRDefault="00D17613">
      <w:pPr>
        <w:spacing w:before="80" w:after="80"/>
      </w:pPr>
    </w:p>
    <w:p w:rsidR="00D17613" w:rsidRDefault="00000000">
      <w:pPr>
        <w:pStyle w:val="Heading1"/>
        <w:pBdr>
          <w:bottom w:val="single" w:sz="6" w:space="6" w:color="1A6B45"/>
        </w:pBdr>
      </w:pPr>
      <w:r>
        <w:t>Minimal İnvaziv Ürojinekoloji: Teknoloji Güncellemesi</w:t>
      </w:r>
    </w:p>
    <w:p w:rsidR="00D17613" w:rsidRDefault="00000000">
      <w:pPr>
        <w:spacing w:before="80" w:after="80" w:line="320" w:lineRule="auto"/>
        <w:jc w:val="both"/>
      </w:pPr>
      <w:r>
        <w:rPr>
          <w:color w:val="333333"/>
        </w:rPr>
        <w:lastRenderedPageBreak/>
        <w:t>Robotik cerrahi platformların yaygınlaşması, 3D görüntüleme sistemleri ve enerji cihazlarındaki gelişmeler ürojinekolojik cerrahide yeni bir dönem açmıştır. Robotik yardımlı laparoskopik sakrokolpopeksi, özellikle derin pelvik diseksiyon gerektiren olgularda öğrenme eğrisini kısaltmakta ve titizlikli doku diseksiyonunu kolaylaştırmaktadır.</w:t>
      </w:r>
    </w:p>
    <w:p w:rsidR="00D17613" w:rsidRDefault="00000000">
      <w:pPr>
        <w:spacing w:before="80" w:after="80" w:line="320" w:lineRule="auto"/>
        <w:jc w:val="both"/>
      </w:pPr>
      <w:r>
        <w:rPr>
          <w:color w:val="333333"/>
        </w:rPr>
        <w:t>Tek port laparoskopi ve gelişmiş enerji platformları, doku hasarını minimize ederken cerrahi konforun artırılmasına katkı sağlamaktadır. Augmented reality destekli cerrahi navigasyon sistemleri ise ürojinekoloji alanında araştırma gündeminde yerini almaktadır.</w:t>
      </w:r>
    </w:p>
    <w:p w:rsidR="00D17613" w:rsidRDefault="00D17613">
      <w:pPr>
        <w:spacing w:before="80" w:after="80"/>
      </w:pPr>
    </w:p>
    <w:p w:rsidR="00D17613" w:rsidRDefault="00000000">
      <w:pPr>
        <w:pStyle w:val="Heading1"/>
        <w:pBdr>
          <w:bottom w:val="single" w:sz="6" w:space="6" w:color="1A6B45"/>
        </w:pBdr>
      </w:pPr>
      <w:r>
        <w:t>Hasta Seçimi ve Preoperatif Değerlendirme</w:t>
      </w:r>
    </w:p>
    <w:p w:rsidR="00D17613" w:rsidRDefault="00000000">
      <w:pPr>
        <w:spacing w:before="80" w:after="80" w:line="320" w:lineRule="auto"/>
        <w:jc w:val="both"/>
      </w:pPr>
      <w:r>
        <w:rPr>
          <w:color w:val="333333"/>
        </w:rPr>
        <w:t>Cerrahi başarı büyük ölçüde doğru hasta seçimine bağlıdır. Preoperatif değerlendirmede; semptom profili, ürodinami bulguları, komorbidite, beklenti yönetimi ve gelecekteki doğurganlık planı kapsamlı biçimde ele alınmalıdır. Multidisipliner konsey kararı özellikle kompleks, rekürren ve nörojenik vakalarda önerilmektedir.</w:t>
      </w:r>
    </w:p>
    <w:p w:rsidR="00D17613" w:rsidRDefault="00D1761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61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E"/>
            <w:tcMar>
              <w:top w:w="160" w:type="dxa"/>
              <w:left w:w="200" w:type="dxa"/>
              <w:bottom w:w="160" w:type="dxa"/>
              <w:right w:w="200" w:type="dxa"/>
            </w:tcMar>
          </w:tcPr>
          <w:p w:rsidR="00D17613" w:rsidRDefault="00000000">
            <w:pPr>
              <w:spacing w:after="80"/>
            </w:pPr>
            <w:r>
              <w:rPr>
                <w:b/>
                <w:bCs/>
                <w:color w:val="1A6B45"/>
              </w:rPr>
              <w:t>Preoperatif Değerlendirme Kontrol Listesi</w:t>
            </w:r>
          </w:p>
          <w:p w:rsidR="00D17613" w:rsidRDefault="00000000">
            <w:pPr>
              <w:spacing w:before="40" w:after="40"/>
            </w:pPr>
            <w:r>
              <w:rPr>
                <w:color w:val="333333"/>
                <w:sz w:val="20"/>
                <w:szCs w:val="20"/>
              </w:rPr>
              <w:t>• Semptom profili ve baskın bileşenin belirlenmesi (SÜİ / urge / mikst / prolapsus)</w:t>
            </w:r>
          </w:p>
          <w:p w:rsidR="00D17613" w:rsidRDefault="00000000">
            <w:pPr>
              <w:spacing w:before="40" w:after="40"/>
            </w:pPr>
            <w:r>
              <w:rPr>
                <w:color w:val="333333"/>
                <w:sz w:val="20"/>
                <w:szCs w:val="20"/>
              </w:rPr>
              <w:t>• Ürodinami: Konservatif tedaviye dirençli, mikst semptomlu veya nörojenik şüpheli olgularda</w:t>
            </w:r>
          </w:p>
          <w:p w:rsidR="00D17613" w:rsidRDefault="00000000">
            <w:pPr>
              <w:spacing w:before="40" w:after="40"/>
            </w:pPr>
            <w:r>
              <w:rPr>
                <w:color w:val="333333"/>
                <w:sz w:val="20"/>
                <w:szCs w:val="20"/>
              </w:rPr>
              <w:t>• Pelvik ultrasonografi veya MRI: Anatomik değerlendirme, adneksiyal patoloji ekartasyonu</w:t>
            </w:r>
          </w:p>
          <w:p w:rsidR="00D17613" w:rsidRDefault="00000000">
            <w:pPr>
              <w:spacing w:before="40" w:after="40"/>
            </w:pPr>
            <w:r>
              <w:rPr>
                <w:color w:val="333333"/>
                <w:sz w:val="20"/>
                <w:szCs w:val="20"/>
              </w:rPr>
              <w:t>• Vajinal doku kalitesi ve östrojenleme durumu</w:t>
            </w:r>
          </w:p>
          <w:p w:rsidR="00D17613" w:rsidRDefault="00000000">
            <w:pPr>
              <w:spacing w:before="40" w:after="40"/>
            </w:pPr>
            <w:r>
              <w:rPr>
                <w:color w:val="333333"/>
                <w:sz w:val="20"/>
                <w:szCs w:val="20"/>
              </w:rPr>
              <w:t>• Komorbidite değerlendirmesi: Anestezi riski, pıhtılaşma bozuklukları, bağ dokusu hastalıkları</w:t>
            </w:r>
          </w:p>
          <w:p w:rsidR="00D17613" w:rsidRDefault="00000000">
            <w:pPr>
              <w:spacing w:before="40" w:after="40"/>
            </w:pPr>
            <w:r>
              <w:rPr>
                <w:color w:val="333333"/>
                <w:sz w:val="20"/>
                <w:szCs w:val="20"/>
              </w:rPr>
              <w:t>• Beklenti yönetimi: Olası komplikasyonlar, rekürrens riski ve postoperatif süreç hakkında bilgilendirme</w:t>
            </w:r>
          </w:p>
          <w:p w:rsidR="00D17613" w:rsidRDefault="00000000">
            <w:pPr>
              <w:spacing w:before="40" w:after="40"/>
            </w:pPr>
            <w:r>
              <w:rPr>
                <w:color w:val="333333"/>
                <w:sz w:val="20"/>
                <w:szCs w:val="20"/>
              </w:rPr>
              <w:t>• Doğurganlık planı: Histeropeksi veya definitif prosedür seçiminde belirleyici</w:t>
            </w:r>
          </w:p>
        </w:tc>
      </w:tr>
    </w:tbl>
    <w:p w:rsidR="00D17613" w:rsidRDefault="00D17613">
      <w:pPr>
        <w:spacing w:before="80" w:after="80"/>
      </w:pPr>
    </w:p>
    <w:p w:rsidR="00D17613" w:rsidRDefault="00000000">
      <w:pPr>
        <w:pStyle w:val="Heading1"/>
        <w:pBdr>
          <w:bottom w:val="single" w:sz="6" w:space="6" w:color="1A6B45"/>
        </w:pBdr>
      </w:pPr>
      <w:r>
        <w:t>Ege Ürojinekoloji Workshop: Program Felsefesi</w:t>
      </w:r>
    </w:p>
    <w:p w:rsidR="00D17613" w:rsidRDefault="00000000">
      <w:pPr>
        <w:spacing w:before="80" w:after="80" w:line="320" w:lineRule="auto"/>
        <w:jc w:val="both"/>
      </w:pPr>
      <w:r>
        <w:rPr>
          <w:color w:val="333333"/>
        </w:rPr>
        <w:t>Ege Ürojinekoloji Workshop, ürojinekoloji alanında klinik yetkinliği artırmaya yönelik, kanıt temelli ve uygulamalı eğitimi ön plana çıkaran bir sürekli tıp eğitimi platformudur. İki günlük yoğun format; teorik bilgi aktarımını, realistik maket uygulamalarını ve hands-on istasyonları bir arada sunmaktadır.</w:t>
      </w:r>
    </w:p>
    <w:p w:rsidR="00D17613" w:rsidRDefault="00000000">
      <w:pPr>
        <w:spacing w:before="80" w:after="80" w:line="320" w:lineRule="auto"/>
        <w:jc w:val="both"/>
      </w:pPr>
      <w:r>
        <w:rPr>
          <w:color w:val="333333"/>
        </w:rPr>
        <w:t>Workshop'un temel felsefesi şudur: Ürojinekolojide klinik başarı, anatomiyi iyi bilmek ile doğru hastaya doğru tedaviyi doğru teknikle uygulamak arasındaki köprüyü kurmaktan geçer. Bu köprünün kurulabilmesi için teorik bilginin simülasyon ve kadavra uygulamalarıyla pekiştirilmesi şarttır.</w:t>
      </w:r>
    </w:p>
    <w:p w:rsidR="00D17613" w:rsidRDefault="00D1761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61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E"/>
            <w:tcMar>
              <w:top w:w="160" w:type="dxa"/>
              <w:left w:w="200" w:type="dxa"/>
              <w:bottom w:w="160" w:type="dxa"/>
              <w:right w:w="200" w:type="dxa"/>
            </w:tcMar>
          </w:tcPr>
          <w:p w:rsidR="00D17613" w:rsidRDefault="00000000">
            <w:pPr>
              <w:spacing w:after="80"/>
            </w:pPr>
            <w:r>
              <w:rPr>
                <w:b/>
                <w:bCs/>
                <w:color w:val="1A6B45"/>
              </w:rPr>
              <w:t>Workshop'un Temel Öğrenme Hedefleri</w:t>
            </w:r>
          </w:p>
          <w:p w:rsidR="00D17613" w:rsidRDefault="00000000">
            <w:pPr>
              <w:spacing w:before="40" w:after="40"/>
            </w:pPr>
            <w:r>
              <w:rPr>
                <w:color w:val="333333"/>
                <w:sz w:val="20"/>
                <w:szCs w:val="20"/>
              </w:rPr>
              <w:t>• Pelvik taban anatomisini cerrahi perspektiften üç boyutlu kavramak</w:t>
            </w:r>
          </w:p>
          <w:p w:rsidR="00D17613" w:rsidRDefault="00000000">
            <w:pPr>
              <w:spacing w:before="40" w:after="40"/>
            </w:pPr>
            <w:r>
              <w:rPr>
                <w:color w:val="333333"/>
                <w:sz w:val="20"/>
                <w:szCs w:val="20"/>
              </w:rPr>
              <w:t>• İnkontinans ve prolapsus cerrahisinde hasta seçim kriterlerini uygulamak</w:t>
            </w:r>
          </w:p>
          <w:p w:rsidR="00D17613" w:rsidRDefault="00000000">
            <w:pPr>
              <w:spacing w:before="40" w:after="40"/>
            </w:pPr>
            <w:r>
              <w:rPr>
                <w:color w:val="333333"/>
                <w:sz w:val="20"/>
                <w:szCs w:val="20"/>
              </w:rPr>
              <w:t>• TVT, TOT ve midüretral sling prosedürlerinin teknik adımlarını realistik maket üzerinde uygulamak</w:t>
            </w:r>
          </w:p>
          <w:p w:rsidR="00D17613" w:rsidRDefault="00000000">
            <w:pPr>
              <w:spacing w:before="40" w:after="40"/>
            </w:pPr>
            <w:r>
              <w:rPr>
                <w:color w:val="333333"/>
                <w:sz w:val="20"/>
                <w:szCs w:val="20"/>
              </w:rPr>
              <w:lastRenderedPageBreak/>
              <w:t>• Laparoskopik sakrokolpopeksi ve vajinal apikal süspansiyon tekniklerini simülasyon ortamında deneyimlemek</w:t>
            </w:r>
          </w:p>
          <w:p w:rsidR="00D17613" w:rsidRDefault="00000000">
            <w:pPr>
              <w:spacing w:before="40" w:after="40"/>
            </w:pPr>
            <w:r>
              <w:rPr>
                <w:color w:val="333333"/>
                <w:sz w:val="20"/>
                <w:szCs w:val="20"/>
              </w:rPr>
              <w:t>• İntraoperatif komplikasyon senaryolarını tanımak ve yönetim algoritmalarını uygulamak</w:t>
            </w:r>
          </w:p>
          <w:p w:rsidR="00D17613" w:rsidRDefault="00000000">
            <w:pPr>
              <w:spacing w:before="40" w:after="40"/>
            </w:pPr>
            <w:r>
              <w:rPr>
                <w:color w:val="333333"/>
                <w:sz w:val="20"/>
                <w:szCs w:val="20"/>
              </w:rPr>
              <w:t>• Güncel minimal invaziv platformları ve teknoloji güncellemelerini değerlendirmek</w:t>
            </w:r>
          </w:p>
        </w:tc>
      </w:tr>
    </w:tbl>
    <w:p w:rsidR="00D17613" w:rsidRDefault="00D17613">
      <w:pPr>
        <w:spacing w:before="80" w:after="80"/>
      </w:pPr>
    </w:p>
    <w:p w:rsidR="00D17613" w:rsidRDefault="00000000">
      <w:pPr>
        <w:spacing w:before="80" w:after="80" w:line="320" w:lineRule="auto"/>
        <w:jc w:val="both"/>
      </w:pPr>
      <w:r>
        <w:rPr>
          <w:color w:val="333333"/>
        </w:rPr>
        <w:t>Her workshop döngüsü; o dönem için belirlenen odak konu ve prosedür çerçevesinde içerik açısından güncellenmektedir. Katılımcılar; uzman cerrahlar, interaktif vaka tartışmaları ve uygulamalı istasyonlar aracılığıyla klinik problem çözme becerilerini geliştirme fırsatı bulmaktadır.</w:t>
      </w:r>
    </w:p>
    <w:p w:rsidR="00D17613" w:rsidRDefault="00D17613">
      <w:pPr>
        <w:spacing w:before="80" w:after="80"/>
      </w:pPr>
    </w:p>
    <w:p w:rsidR="00D17613" w:rsidRDefault="00000000">
      <w:pPr>
        <w:pStyle w:val="Heading1"/>
        <w:pBdr>
          <w:bottom w:val="single" w:sz="6" w:space="6" w:color="1A6B45"/>
        </w:pBdr>
      </w:pPr>
      <w:r>
        <w:t>Temel Referanslar</w:t>
      </w:r>
    </w:p>
    <w:p w:rsidR="00D17613" w:rsidRDefault="00000000">
      <w:pPr>
        <w:pStyle w:val="ListParagraph"/>
        <w:numPr>
          <w:ilvl w:val="0"/>
          <w:numId w:val="2"/>
        </w:numPr>
        <w:spacing w:before="60" w:after="60"/>
      </w:pPr>
      <w:r>
        <w:rPr>
          <w:color w:val="333333"/>
        </w:rPr>
        <w:t>EAU Guidelines on Pelvic Floor Dysfunction — Güncel Baskı</w:t>
      </w:r>
    </w:p>
    <w:p w:rsidR="00D17613" w:rsidRDefault="00000000">
      <w:pPr>
        <w:pStyle w:val="ListParagraph"/>
        <w:numPr>
          <w:ilvl w:val="0"/>
          <w:numId w:val="2"/>
        </w:numPr>
        <w:spacing w:before="60" w:after="60"/>
      </w:pPr>
      <w:r>
        <w:rPr>
          <w:color w:val="333333"/>
        </w:rPr>
        <w:t>IUGA/ICS — Best Practice Statement on Urogynecologic Surgical Techniques</w:t>
      </w:r>
    </w:p>
    <w:p w:rsidR="00D17613" w:rsidRDefault="00000000">
      <w:pPr>
        <w:pStyle w:val="ListParagraph"/>
        <w:numPr>
          <w:ilvl w:val="0"/>
          <w:numId w:val="2"/>
        </w:numPr>
        <w:spacing w:before="60" w:after="60"/>
      </w:pPr>
      <w:r>
        <w:rPr>
          <w:color w:val="333333"/>
        </w:rPr>
        <w:t>AUGS/SUFU — Position Statements on Surgical Treatment of SUI and POP</w:t>
      </w:r>
    </w:p>
    <w:p w:rsidR="00D17613" w:rsidRDefault="00000000">
      <w:pPr>
        <w:pStyle w:val="ListParagraph"/>
        <w:numPr>
          <w:ilvl w:val="0"/>
          <w:numId w:val="2"/>
        </w:numPr>
        <w:spacing w:before="60" w:after="60"/>
      </w:pPr>
      <w:r>
        <w:rPr>
          <w:color w:val="333333"/>
        </w:rPr>
        <w:t>NICE Guideline NG123 — Urinary Incontinence and Pelvic Organ Prolapse in Women</w:t>
      </w:r>
    </w:p>
    <w:p w:rsidR="00D17613" w:rsidRDefault="00000000">
      <w:pPr>
        <w:pStyle w:val="ListParagraph"/>
        <w:numPr>
          <w:ilvl w:val="0"/>
          <w:numId w:val="2"/>
        </w:numPr>
        <w:spacing w:before="60" w:after="60"/>
      </w:pPr>
      <w:r>
        <w:rPr>
          <w:color w:val="333333"/>
        </w:rPr>
        <w:t>Cochrane Review — Surgical versus conservative management for prolapse and incontinence</w:t>
      </w:r>
    </w:p>
    <w:p w:rsidR="00D17613" w:rsidRDefault="00000000">
      <w:pPr>
        <w:pStyle w:val="ListParagraph"/>
        <w:numPr>
          <w:ilvl w:val="0"/>
          <w:numId w:val="2"/>
        </w:numPr>
        <w:spacing w:before="60" w:after="60"/>
      </w:pPr>
      <w:r>
        <w:rPr>
          <w:color w:val="333333"/>
        </w:rPr>
        <w:t>Journal of Urology &amp; BJOG — Seçilmiş klinik çalışmalar 2020–2025</w:t>
      </w:r>
    </w:p>
    <w:p w:rsidR="00D17613" w:rsidRDefault="00D17613">
      <w:pPr>
        <w:spacing w:before="80" w:after="80"/>
      </w:pPr>
    </w:p>
    <w:p w:rsidR="00D17613" w:rsidRDefault="00000000">
      <w:pPr>
        <w:pBdr>
          <w:top w:val="single" w:sz="4" w:space="8" w:color="1A6B45"/>
        </w:pBdr>
        <w:spacing w:before="200"/>
        <w:jc w:val="center"/>
      </w:pPr>
      <w:r>
        <w:rPr>
          <w:color w:val="999999"/>
          <w:sz w:val="18"/>
          <w:szCs w:val="18"/>
        </w:rPr>
        <w:t>© 2025 Ege Ürojinekoloji Workshop | egeurojinekoloji.com</w:t>
      </w:r>
    </w:p>
    <w:sectPr w:rsidR="00D17613">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4210C" w:rsidRDefault="00E4210C">
      <w:r>
        <w:separator/>
      </w:r>
    </w:p>
  </w:endnote>
  <w:endnote w:type="continuationSeparator" w:id="0">
    <w:p w:rsidR="00E4210C" w:rsidRDefault="00E42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7613" w:rsidRDefault="00000000">
    <w:pPr>
      <w:pBdr>
        <w:top w:val="single" w:sz="4" w:space="4" w:color="CCCCCC"/>
      </w:pBdr>
      <w:tabs>
        <w:tab w:val="right" w:pos="9026"/>
      </w:tabs>
    </w:pPr>
    <w:r>
      <w:rPr>
        <w:color w:val="999999"/>
        <w:sz w:val="18"/>
        <w:szCs w:val="18"/>
      </w:rPr>
      <w:t>Ürojinekolojide Cerrahi Teknikler: Kapsamlı Yaklaşım Rehberi</w:t>
    </w:r>
    <w:r>
      <w:rPr>
        <w:sz w:val="18"/>
        <w:szCs w:val="18"/>
      </w:rPr>
      <w:tab/>
    </w:r>
    <w:r>
      <w:rPr>
        <w:color w:val="999999"/>
        <w:sz w:val="18"/>
        <w:szCs w:val="18"/>
      </w:rPr>
      <w:fldChar w:fldCharType="begin"/>
    </w:r>
    <w:r>
      <w:rPr>
        <w:color w:val="999999"/>
        <w:sz w:val="18"/>
        <w:szCs w:val="18"/>
      </w:rPr>
      <w:instrText>PAGE</w:instrText>
    </w:r>
    <w:r>
      <w:rPr>
        <w:color w:val="999999"/>
        <w:sz w:val="18"/>
        <w:szCs w:val="18"/>
      </w:rPr>
      <w:fldChar w:fldCharType="separate"/>
    </w:r>
    <w:r w:rsidR="00916D5B">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4210C" w:rsidRDefault="00E4210C">
      <w:r>
        <w:separator/>
      </w:r>
    </w:p>
  </w:footnote>
  <w:footnote w:type="continuationSeparator" w:id="0">
    <w:p w:rsidR="00E4210C" w:rsidRDefault="00E421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506"/>
    </w:tblGrid>
    <w:tr w:rsidR="00D17613">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D17613" w:rsidRDefault="00000000">
          <w:r>
            <w:rPr>
              <w:b/>
              <w:bCs/>
              <w:color w:val="1A6B45"/>
              <w:sz w:val="18"/>
              <w:szCs w:val="18"/>
            </w:rPr>
            <w:t>EGE ÜROJİNEKOLOJİ WORKSHOP</w:t>
          </w:r>
        </w:p>
      </w:tc>
      <w:tc>
        <w:tcPr>
          <w:tcW w:w="250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D17613" w:rsidRDefault="00000000">
          <w:pPr>
            <w:jc w:val="right"/>
          </w:pPr>
          <w:r>
            <w:rPr>
              <w:color w:val="999999"/>
              <w:sz w:val="18"/>
              <w:szCs w:val="18"/>
            </w:rPr>
            <w:t>KLİNİK YAZI | 2025</w:t>
          </w:r>
        </w:p>
      </w:tc>
    </w:tr>
  </w:tbl>
  <w:p w:rsidR="00D17613" w:rsidRDefault="00D17613">
    <w:pPr>
      <w:pBdr>
        <w:bottom w:val="single" w:sz="4" w:space="4" w:color="1A6B45"/>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05D55"/>
    <w:multiLevelType w:val="hybridMultilevel"/>
    <w:tmpl w:val="9C748A9E"/>
    <w:lvl w:ilvl="0" w:tplc="4008F80A">
      <w:start w:val="1"/>
      <w:numFmt w:val="bullet"/>
      <w:lvlText w:val="•"/>
      <w:lvlJc w:val="left"/>
      <w:pPr>
        <w:ind w:left="720" w:hanging="360"/>
      </w:pPr>
    </w:lvl>
    <w:lvl w:ilvl="1" w:tplc="580E73E2">
      <w:numFmt w:val="decimal"/>
      <w:lvlText w:val=""/>
      <w:lvlJc w:val="left"/>
    </w:lvl>
    <w:lvl w:ilvl="2" w:tplc="139CC4B6">
      <w:numFmt w:val="decimal"/>
      <w:lvlText w:val=""/>
      <w:lvlJc w:val="left"/>
    </w:lvl>
    <w:lvl w:ilvl="3" w:tplc="F98AD9CC">
      <w:numFmt w:val="decimal"/>
      <w:lvlText w:val=""/>
      <w:lvlJc w:val="left"/>
    </w:lvl>
    <w:lvl w:ilvl="4" w:tplc="1A3CBE94">
      <w:numFmt w:val="decimal"/>
      <w:lvlText w:val=""/>
      <w:lvlJc w:val="left"/>
    </w:lvl>
    <w:lvl w:ilvl="5" w:tplc="B31E0C3A">
      <w:numFmt w:val="decimal"/>
      <w:lvlText w:val=""/>
      <w:lvlJc w:val="left"/>
    </w:lvl>
    <w:lvl w:ilvl="6" w:tplc="8FF64AB4">
      <w:numFmt w:val="decimal"/>
      <w:lvlText w:val=""/>
      <w:lvlJc w:val="left"/>
    </w:lvl>
    <w:lvl w:ilvl="7" w:tplc="6952E1CC">
      <w:numFmt w:val="decimal"/>
      <w:lvlText w:val=""/>
      <w:lvlJc w:val="left"/>
    </w:lvl>
    <w:lvl w:ilvl="8" w:tplc="E370DFEE">
      <w:numFmt w:val="decimal"/>
      <w:lvlText w:val=""/>
      <w:lvlJc w:val="left"/>
    </w:lvl>
  </w:abstractNum>
  <w:abstractNum w:abstractNumId="1" w15:restartNumberingAfterBreak="0">
    <w:nsid w:val="36644847"/>
    <w:multiLevelType w:val="hybridMultilevel"/>
    <w:tmpl w:val="45121192"/>
    <w:lvl w:ilvl="0" w:tplc="6BA86882">
      <w:start w:val="1"/>
      <w:numFmt w:val="bullet"/>
      <w:lvlText w:val="●"/>
      <w:lvlJc w:val="left"/>
      <w:pPr>
        <w:ind w:left="720" w:hanging="360"/>
      </w:pPr>
    </w:lvl>
    <w:lvl w:ilvl="1" w:tplc="B5F2A732">
      <w:start w:val="1"/>
      <w:numFmt w:val="bullet"/>
      <w:lvlText w:val="○"/>
      <w:lvlJc w:val="left"/>
      <w:pPr>
        <w:ind w:left="1440" w:hanging="360"/>
      </w:pPr>
    </w:lvl>
    <w:lvl w:ilvl="2" w:tplc="B052B768">
      <w:start w:val="1"/>
      <w:numFmt w:val="bullet"/>
      <w:lvlText w:val="■"/>
      <w:lvlJc w:val="left"/>
      <w:pPr>
        <w:ind w:left="2160" w:hanging="360"/>
      </w:pPr>
    </w:lvl>
    <w:lvl w:ilvl="3" w:tplc="B4663A76">
      <w:start w:val="1"/>
      <w:numFmt w:val="bullet"/>
      <w:lvlText w:val="●"/>
      <w:lvlJc w:val="left"/>
      <w:pPr>
        <w:ind w:left="2880" w:hanging="360"/>
      </w:pPr>
    </w:lvl>
    <w:lvl w:ilvl="4" w:tplc="4556455E">
      <w:start w:val="1"/>
      <w:numFmt w:val="bullet"/>
      <w:lvlText w:val="○"/>
      <w:lvlJc w:val="left"/>
      <w:pPr>
        <w:ind w:left="3600" w:hanging="360"/>
      </w:pPr>
    </w:lvl>
    <w:lvl w:ilvl="5" w:tplc="90B63E52">
      <w:start w:val="1"/>
      <w:numFmt w:val="bullet"/>
      <w:lvlText w:val="■"/>
      <w:lvlJc w:val="left"/>
      <w:pPr>
        <w:ind w:left="4320" w:hanging="360"/>
      </w:pPr>
    </w:lvl>
    <w:lvl w:ilvl="6" w:tplc="427C18A0">
      <w:start w:val="1"/>
      <w:numFmt w:val="bullet"/>
      <w:lvlText w:val="●"/>
      <w:lvlJc w:val="left"/>
      <w:pPr>
        <w:ind w:left="5040" w:hanging="360"/>
      </w:pPr>
    </w:lvl>
    <w:lvl w:ilvl="7" w:tplc="11AE8362">
      <w:start w:val="1"/>
      <w:numFmt w:val="bullet"/>
      <w:lvlText w:val="●"/>
      <w:lvlJc w:val="left"/>
      <w:pPr>
        <w:ind w:left="5760" w:hanging="360"/>
      </w:pPr>
    </w:lvl>
    <w:lvl w:ilvl="8" w:tplc="A7DC5012">
      <w:start w:val="1"/>
      <w:numFmt w:val="bullet"/>
      <w:lvlText w:val="●"/>
      <w:lvlJc w:val="left"/>
      <w:pPr>
        <w:ind w:left="6480" w:hanging="360"/>
      </w:pPr>
    </w:lvl>
  </w:abstractNum>
  <w:num w:numId="1" w16cid:durableId="650060846">
    <w:abstractNumId w:val="1"/>
    <w:lvlOverride w:ilvl="0">
      <w:startOverride w:val="1"/>
    </w:lvlOverride>
  </w:num>
  <w:num w:numId="2" w16cid:durableId="1824588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613"/>
    <w:rsid w:val="00916D5B"/>
    <w:rsid w:val="00D17613"/>
    <w:rsid w:val="00E4210C"/>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5:docId w15:val="{04393C3C-56A8-A640-8A61-D395D5120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6B45"/>
      <w:sz w:val="28"/>
      <w:szCs w:val="28"/>
    </w:rPr>
  </w:style>
  <w:style w:type="paragraph" w:styleId="Heading2">
    <w:name w:val="heading 2"/>
    <w:uiPriority w:val="9"/>
    <w:unhideWhenUsed/>
    <w:qFormat/>
    <w:pPr>
      <w:spacing w:before="240" w:after="120"/>
      <w:outlineLvl w:val="1"/>
    </w:pPr>
    <w:rPr>
      <w:b/>
      <w:bCs/>
      <w:color w:val="1A2B3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1299</Words>
  <Characters>8277</Characters>
  <Application>Microsoft Office Word</Application>
  <DocSecurity>0</DocSecurity>
  <Lines>153</Lines>
  <Paragraphs>56</Paragraphs>
  <ScaleCrop>false</ScaleCrop>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Ahmet Özgür Yeniel</cp:lastModifiedBy>
  <cp:revision>2</cp:revision>
  <dcterms:created xsi:type="dcterms:W3CDTF">2026-03-31T07:40:00Z</dcterms:created>
  <dcterms:modified xsi:type="dcterms:W3CDTF">2026-03-31T07:40:00Z</dcterms:modified>
</cp:coreProperties>
</file>