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3F05D3">
        <w:tblPrEx>
          <w:tblCellMar>
            <w:top w:w="0" w:type="dxa"/>
            <w:bottom w:w="0" w:type="dxa"/>
          </w:tblCellMar>
        </w:tblPrEx>
        <w:tc>
          <w:tcPr>
            <w:tcW w:w="9506" w:type="dxa"/>
            <w:tcBorders>
              <w:top w:val="single" w:sz="1" w:space="0" w:color="CCCCCC"/>
              <w:left w:val="single" w:sz="1" w:space="0" w:color="CCCCCC"/>
              <w:bottom w:val="single" w:sz="1" w:space="0" w:color="CCCCCC"/>
              <w:right w:val="single" w:sz="1" w:space="0" w:color="CCCCCC"/>
            </w:tcBorders>
            <w:shd w:val="clear" w:color="auto" w:fill="0B7B8B"/>
            <w:tcMar>
              <w:top w:w="400" w:type="dxa"/>
              <w:left w:w="400" w:type="dxa"/>
              <w:bottom w:w="400" w:type="dxa"/>
              <w:right w:w="400" w:type="dxa"/>
            </w:tcMar>
          </w:tcPr>
          <w:p w:rsidR="003F05D3" w:rsidRDefault="00000000">
            <w:pPr>
              <w:spacing w:after="120"/>
              <w:jc w:val="center"/>
            </w:pPr>
            <w:r>
              <w:rPr>
                <w:color w:val="FFFFFF"/>
                <w:sz w:val="20"/>
                <w:szCs w:val="20"/>
              </w:rPr>
              <w:t>EGE ÜROJİNEKOLOJİ WORKSHOP</w:t>
            </w:r>
          </w:p>
          <w:p w:rsidR="003F05D3" w:rsidRDefault="00000000">
            <w:pPr>
              <w:spacing w:after="200"/>
              <w:jc w:val="center"/>
            </w:pPr>
            <w:r>
              <w:rPr>
                <w:color w:val="CCEEEE"/>
                <w:sz w:val="20"/>
                <w:szCs w:val="20"/>
              </w:rPr>
              <w:t>Klinik White Paper</w:t>
            </w:r>
          </w:p>
          <w:p w:rsidR="003F05D3" w:rsidRDefault="00000000">
            <w:pPr>
              <w:spacing w:after="160"/>
              <w:jc w:val="center"/>
            </w:pPr>
            <w:r>
              <w:rPr>
                <w:b/>
                <w:bCs/>
                <w:color w:val="FFFFFF"/>
                <w:sz w:val="36"/>
                <w:szCs w:val="36"/>
              </w:rPr>
              <w:t>MİDÜRETRAL SLİNG CERRAHİSİNDE UZUN DÖNEM SONUÇLAR</w:t>
            </w:r>
          </w:p>
          <w:p w:rsidR="003F05D3" w:rsidRDefault="00000000">
            <w:pPr>
              <w:jc w:val="center"/>
            </w:pPr>
            <w:r>
              <w:rPr>
                <w:color w:val="DDEEFF"/>
                <w:sz w:val="24"/>
                <w:szCs w:val="24"/>
              </w:rPr>
              <w:t>10 Yıl ve Ötesi: Sekiz Çalışmanın Kanıt Tabanlı Analizi</w:t>
            </w:r>
          </w:p>
        </w:tc>
      </w:tr>
    </w:tbl>
    <w:p w:rsidR="003F05D3" w:rsidRDefault="003F05D3">
      <w:pPr>
        <w:spacing w:before="80" w:after="80"/>
      </w:pPr>
    </w:p>
    <w:p w:rsidR="003F05D3" w:rsidRDefault="00000000">
      <w:pPr>
        <w:pStyle w:val="Heading1"/>
        <w:pBdr>
          <w:bottom w:val="single" w:sz="6" w:space="6" w:color="0B7B8B"/>
        </w:pBdr>
      </w:pPr>
      <w:r>
        <w:t>Giriş</w:t>
      </w:r>
    </w:p>
    <w:p w:rsidR="003F05D3" w:rsidRDefault="00000000">
      <w:pPr>
        <w:spacing w:before="80" w:after="80" w:line="320" w:lineRule="auto"/>
        <w:jc w:val="both"/>
      </w:pPr>
      <w:r>
        <w:rPr>
          <w:color w:val="333333"/>
        </w:rPr>
        <w:t>Midüretral sling (MUS) prosedürleri, stres üriner inkontinansın (SÜİ) cerrahi tedavisinde uluslararası kılavuzların birinci basamak seçeneği olarak kabul görmektedir. Randomize kontrollü deneylerin büyük bölümü 12–24 aylık verilerle tasarlanmış olsa da MUS'un gerçek klinik değeri —mesh dayanıklılığı, kontinansın sürdürülmesi, yaşam kalitesinin yıllar içindeki seyri ve geç komplikasyon riski— ancak on yılı aşan takiplerle anlaşılabilir.</w:t>
      </w:r>
    </w:p>
    <w:p w:rsidR="003F05D3" w:rsidRDefault="00000000">
      <w:pPr>
        <w:spacing w:before="80" w:after="80" w:line="320" w:lineRule="auto"/>
        <w:jc w:val="both"/>
      </w:pPr>
      <w:r>
        <w:rPr>
          <w:color w:val="333333"/>
        </w:rPr>
        <w:t>Bu white paper; 10 yılı aşan takip süresine sahip sekiz yüksek kaliteli çalışmayı analiz ederek MUS cerrahisinin uzun dönem sonuç profilini üç temel boyutta —kontinans dayanıklılığı, fonksiyonel semptom yükü ve komplikasyonlar— ele almaktadır. Bulgular, klinisyenler için pratik izlem önerileriyle birlikte sunulmaktadır.</w:t>
      </w:r>
    </w:p>
    <w:p w:rsidR="003F05D3" w:rsidRDefault="003F05D3">
      <w:pPr>
        <w:spacing w:before="80" w:after="80"/>
      </w:pPr>
    </w:p>
    <w:p w:rsidR="003F05D3" w:rsidRDefault="00000000">
      <w:pPr>
        <w:pStyle w:val="Heading1"/>
        <w:pBdr>
          <w:bottom w:val="single" w:sz="6" w:space="6" w:color="0B7B8B"/>
        </w:pBdr>
      </w:pPr>
      <w:r>
        <w:t>Dahil Edilen Çalışmalar</w:t>
      </w:r>
    </w:p>
    <w:p w:rsidR="003F05D3" w:rsidRDefault="00000000">
      <w:pPr>
        <w:spacing w:before="80" w:after="80" w:line="320" w:lineRule="auto"/>
        <w:jc w:val="both"/>
      </w:pPr>
      <w:r>
        <w:rPr>
          <w:color w:val="333333"/>
        </w:rPr>
        <w:t>Aşağıdaki sekiz çalışma; 10 yılı aşan medyan veya ortalama takip süresine sahip olma kriteri esas alınarak seçilmiştir. Randomize kontrollü deneyler, uzun dönem RCT takipleri ve prospektif/retrospektif kohortları kapsamaktadır. Toplam analiz edilen hasta sayısı 811, takip aralığı 10.2–25 yıldır.</w:t>
      </w:r>
    </w:p>
    <w:p w:rsidR="003F05D3" w:rsidRDefault="003F05D3">
      <w:pPr>
        <w:spacing w:before="80" w:after="80"/>
      </w:pP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5"/>
        <w:gridCol w:w="1396"/>
        <w:gridCol w:w="1996"/>
        <w:gridCol w:w="574"/>
        <w:gridCol w:w="1297"/>
        <w:gridCol w:w="2702"/>
      </w:tblGrid>
      <w:tr w:rsidR="003F05D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B7B8B"/>
            <w:tcMar>
              <w:top w:w="100" w:type="dxa"/>
              <w:left w:w="120" w:type="dxa"/>
              <w:bottom w:w="100" w:type="dxa"/>
              <w:right w:w="120" w:type="dxa"/>
            </w:tcMar>
          </w:tcPr>
          <w:p w:rsidR="003F05D3" w:rsidRDefault="00000000">
            <w:r>
              <w:rPr>
                <w:b/>
                <w:bCs/>
                <w:color w:val="FFFFFF"/>
                <w:sz w:val="20"/>
                <w:szCs w:val="20"/>
              </w:rPr>
              <w:t>Yazar &amp; Yıl</w:t>
            </w:r>
          </w:p>
        </w:tc>
        <w:tc>
          <w:tcPr>
            <w:tcW w:w="1400" w:type="dxa"/>
            <w:tcBorders>
              <w:top w:val="single" w:sz="1" w:space="0" w:color="CCCCCC"/>
              <w:left w:val="single" w:sz="1" w:space="0" w:color="CCCCCC"/>
              <w:bottom w:val="single" w:sz="1" w:space="0" w:color="CCCCCC"/>
              <w:right w:val="single" w:sz="1" w:space="0" w:color="CCCCCC"/>
            </w:tcBorders>
            <w:shd w:val="clear" w:color="auto" w:fill="0B7B8B"/>
            <w:tcMar>
              <w:top w:w="100" w:type="dxa"/>
              <w:left w:w="120" w:type="dxa"/>
              <w:bottom w:w="100" w:type="dxa"/>
              <w:right w:w="120" w:type="dxa"/>
            </w:tcMar>
          </w:tcPr>
          <w:p w:rsidR="003F05D3" w:rsidRDefault="00000000">
            <w:r>
              <w:rPr>
                <w:b/>
                <w:bCs/>
                <w:color w:val="FFFFFF"/>
                <w:sz w:val="20"/>
                <w:szCs w:val="20"/>
              </w:rPr>
              <w:t>Takip</w:t>
            </w:r>
          </w:p>
        </w:tc>
        <w:tc>
          <w:tcPr>
            <w:tcW w:w="2000" w:type="dxa"/>
            <w:tcBorders>
              <w:top w:val="single" w:sz="1" w:space="0" w:color="CCCCCC"/>
              <w:left w:val="single" w:sz="1" w:space="0" w:color="CCCCCC"/>
              <w:bottom w:val="single" w:sz="1" w:space="0" w:color="CCCCCC"/>
              <w:right w:val="single" w:sz="1" w:space="0" w:color="CCCCCC"/>
            </w:tcBorders>
            <w:shd w:val="clear" w:color="auto" w:fill="0B7B8B"/>
            <w:tcMar>
              <w:top w:w="100" w:type="dxa"/>
              <w:left w:w="120" w:type="dxa"/>
              <w:bottom w:w="100" w:type="dxa"/>
              <w:right w:w="120" w:type="dxa"/>
            </w:tcMar>
          </w:tcPr>
          <w:p w:rsidR="003F05D3" w:rsidRDefault="00000000">
            <w:r>
              <w:rPr>
                <w:b/>
                <w:bCs/>
                <w:color w:val="FFFFFF"/>
                <w:sz w:val="20"/>
                <w:szCs w:val="20"/>
              </w:rPr>
              <w:t>Tasarım</w:t>
            </w:r>
          </w:p>
        </w:tc>
        <w:tc>
          <w:tcPr>
            <w:tcW w:w="550" w:type="dxa"/>
            <w:tcBorders>
              <w:top w:val="single" w:sz="1" w:space="0" w:color="CCCCCC"/>
              <w:left w:val="single" w:sz="1" w:space="0" w:color="CCCCCC"/>
              <w:bottom w:val="single" w:sz="1" w:space="0" w:color="CCCCCC"/>
              <w:right w:val="single" w:sz="1" w:space="0" w:color="CCCCCC"/>
            </w:tcBorders>
            <w:shd w:val="clear" w:color="auto" w:fill="0B7B8B"/>
            <w:tcMar>
              <w:top w:w="100" w:type="dxa"/>
              <w:left w:w="120" w:type="dxa"/>
              <w:bottom w:w="100" w:type="dxa"/>
              <w:right w:w="120" w:type="dxa"/>
            </w:tcMar>
          </w:tcPr>
          <w:p w:rsidR="003F05D3" w:rsidRDefault="00000000">
            <w:r>
              <w:rPr>
                <w:b/>
                <w:bCs/>
                <w:color w:val="FFFFFF"/>
                <w:sz w:val="20"/>
                <w:szCs w:val="20"/>
              </w:rPr>
              <w:t>n</w:t>
            </w:r>
          </w:p>
        </w:tc>
        <w:tc>
          <w:tcPr>
            <w:tcW w:w="1300" w:type="dxa"/>
            <w:tcBorders>
              <w:top w:val="single" w:sz="1" w:space="0" w:color="CCCCCC"/>
              <w:left w:val="single" w:sz="1" w:space="0" w:color="CCCCCC"/>
              <w:bottom w:val="single" w:sz="1" w:space="0" w:color="CCCCCC"/>
              <w:right w:val="single" w:sz="1" w:space="0" w:color="CCCCCC"/>
            </w:tcBorders>
            <w:shd w:val="clear" w:color="auto" w:fill="0B7B8B"/>
            <w:tcMar>
              <w:top w:w="100" w:type="dxa"/>
              <w:left w:w="120" w:type="dxa"/>
              <w:bottom w:w="100" w:type="dxa"/>
              <w:right w:w="120" w:type="dxa"/>
            </w:tcMar>
          </w:tcPr>
          <w:p w:rsidR="003F05D3" w:rsidRDefault="00000000">
            <w:r>
              <w:rPr>
                <w:b/>
                <w:bCs/>
                <w:color w:val="FFFFFF"/>
                <w:sz w:val="20"/>
                <w:szCs w:val="20"/>
              </w:rPr>
              <w:t>Teknik</w:t>
            </w:r>
          </w:p>
        </w:tc>
        <w:tc>
          <w:tcPr>
            <w:tcW w:w="2710" w:type="dxa"/>
            <w:tcBorders>
              <w:top w:val="single" w:sz="1" w:space="0" w:color="CCCCCC"/>
              <w:left w:val="single" w:sz="1" w:space="0" w:color="CCCCCC"/>
              <w:bottom w:val="single" w:sz="1" w:space="0" w:color="CCCCCC"/>
              <w:right w:val="single" w:sz="1" w:space="0" w:color="CCCCCC"/>
            </w:tcBorders>
            <w:shd w:val="clear" w:color="auto" w:fill="0B7B8B"/>
            <w:tcMar>
              <w:top w:w="100" w:type="dxa"/>
              <w:left w:w="120" w:type="dxa"/>
              <w:bottom w:w="100" w:type="dxa"/>
              <w:right w:w="120" w:type="dxa"/>
            </w:tcMar>
          </w:tcPr>
          <w:p w:rsidR="003F05D3" w:rsidRDefault="00000000">
            <w:r>
              <w:rPr>
                <w:b/>
                <w:bCs/>
                <w:color w:val="FFFFFF"/>
                <w:sz w:val="20"/>
                <w:szCs w:val="20"/>
              </w:rPr>
              <w:t>Temel Bulgular</w:t>
            </w:r>
          </w:p>
        </w:tc>
      </w:tr>
      <w:tr w:rsidR="003F05D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3F05D3" w:rsidRDefault="00000000">
            <w:r>
              <w:rPr>
                <w:color w:val="333333"/>
                <w:sz w:val="20"/>
                <w:szCs w:val="20"/>
              </w:rPr>
              <w:t>Lebar 2025</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3F05D3" w:rsidRDefault="00000000">
            <w:r>
              <w:rPr>
                <w:color w:val="333333"/>
                <w:sz w:val="20"/>
                <w:szCs w:val="20"/>
              </w:rPr>
              <w:t>20–25 yıl</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3F05D3" w:rsidRDefault="00000000">
            <w:r>
              <w:rPr>
                <w:color w:val="333333"/>
                <w:sz w:val="20"/>
                <w:szCs w:val="20"/>
              </w:rPr>
              <w:t>Retrospektif kohort</w:t>
            </w:r>
          </w:p>
        </w:tc>
        <w:tc>
          <w:tcPr>
            <w:tcW w:w="5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3F05D3" w:rsidRDefault="00000000">
            <w:r>
              <w:rPr>
                <w:color w:val="333333"/>
                <w:sz w:val="20"/>
                <w:szCs w:val="20"/>
              </w:rPr>
              <w:t>135</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3F05D3" w:rsidRDefault="00000000">
            <w:r>
              <w:rPr>
                <w:color w:val="333333"/>
                <w:sz w:val="20"/>
                <w:szCs w:val="20"/>
              </w:rPr>
              <w:t>TVT</w:t>
            </w:r>
          </w:p>
        </w:tc>
        <w:tc>
          <w:tcPr>
            <w:tcW w:w="27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3F05D3" w:rsidRDefault="00000000">
            <w:r>
              <w:rPr>
                <w:color w:val="333333"/>
                <w:sz w:val="20"/>
                <w:szCs w:val="20"/>
              </w:rPr>
              <w:t>%76.3 hasta bildirimi iyileşmesi; ICIQ-SF 7, UDI-6 22.2</w:t>
            </w:r>
          </w:p>
        </w:tc>
      </w:tr>
      <w:tr w:rsidR="003F05D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05D3" w:rsidRDefault="00000000">
            <w:r>
              <w:rPr>
                <w:color w:val="333333"/>
                <w:sz w:val="20"/>
                <w:szCs w:val="20"/>
              </w:rPr>
              <w:t>Soderini 2025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05D3" w:rsidRDefault="00000000">
            <w:r>
              <w:rPr>
                <w:color w:val="333333"/>
                <w:sz w:val="20"/>
                <w:szCs w:val="20"/>
              </w:rPr>
              <w:t>Ort. 18 yıl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05D3" w:rsidRDefault="00000000">
            <w:r>
              <w:rPr>
                <w:color w:val="333333"/>
                <w:sz w:val="20"/>
                <w:szCs w:val="20"/>
              </w:rPr>
              <w:t>Retrospektif kohort</w:t>
            </w:r>
          </w:p>
        </w:tc>
        <w:tc>
          <w:tcPr>
            <w:tcW w:w="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05D3" w:rsidRDefault="00000000">
            <w:r>
              <w:rPr>
                <w:color w:val="333333"/>
                <w:sz w:val="20"/>
                <w:szCs w:val="20"/>
              </w:rPr>
              <w:t>42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05D3" w:rsidRDefault="00000000">
            <w:r>
              <w:rPr>
                <w:color w:val="333333"/>
                <w:sz w:val="20"/>
                <w:szCs w:val="20"/>
              </w:rPr>
              <w:t>TVT</w:t>
            </w:r>
          </w:p>
        </w:tc>
        <w:tc>
          <w:tcPr>
            <w:tcW w:w="27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05D3" w:rsidRDefault="00000000">
            <w:r>
              <w:rPr>
                <w:color w:val="333333"/>
                <w:sz w:val="20"/>
                <w:szCs w:val="20"/>
              </w:rPr>
              <w:t>Obj. kür %96.3, sübj. kür %95.3; de novo OAB %9</w:t>
            </w:r>
          </w:p>
        </w:tc>
      </w:tr>
      <w:tr w:rsidR="003F05D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3F05D3" w:rsidRDefault="00000000">
            <w:r>
              <w:rPr>
                <w:color w:val="333333"/>
                <w:sz w:val="20"/>
                <w:szCs w:val="20"/>
              </w:rPr>
              <w:t>Salo 2023</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3F05D3" w:rsidRDefault="00000000">
            <w:r>
              <w:rPr>
                <w:color w:val="333333"/>
                <w:sz w:val="20"/>
                <w:szCs w:val="20"/>
              </w:rPr>
              <w:t>Med. 16 yıl</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3F05D3" w:rsidRDefault="00000000">
            <w:r>
              <w:rPr>
                <w:color w:val="333333"/>
                <w:sz w:val="20"/>
                <w:szCs w:val="20"/>
              </w:rPr>
              <w:t>RCT uzun dönem</w:t>
            </w:r>
          </w:p>
        </w:tc>
        <w:tc>
          <w:tcPr>
            <w:tcW w:w="5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3F05D3" w:rsidRDefault="00000000">
            <w:r>
              <w:rPr>
                <w:color w:val="333333"/>
                <w:sz w:val="20"/>
                <w:szCs w:val="20"/>
              </w:rPr>
              <w:t>72</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3F05D3" w:rsidRDefault="00000000">
            <w:r>
              <w:rPr>
                <w:color w:val="333333"/>
                <w:sz w:val="20"/>
                <w:szCs w:val="20"/>
              </w:rPr>
              <w:t>TVT vs TOT</w:t>
            </w:r>
          </w:p>
        </w:tc>
        <w:tc>
          <w:tcPr>
            <w:tcW w:w="27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3F05D3" w:rsidRDefault="00000000">
            <w:r>
              <w:rPr>
                <w:color w:val="333333"/>
                <w:sz w:val="20"/>
                <w:szCs w:val="20"/>
              </w:rPr>
              <w:t>16 yılda her iki grupta eşdeğer kür; PFDI-20 benzer</w:t>
            </w:r>
          </w:p>
        </w:tc>
      </w:tr>
      <w:tr w:rsidR="003F05D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05D3" w:rsidRDefault="00000000">
            <w:r>
              <w:rPr>
                <w:color w:val="333333"/>
                <w:sz w:val="20"/>
                <w:szCs w:val="20"/>
              </w:rPr>
              <w:t>Offiah 2021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05D3" w:rsidRDefault="00000000">
            <w:r>
              <w:rPr>
                <w:color w:val="333333"/>
                <w:sz w:val="20"/>
                <w:szCs w:val="20"/>
              </w:rPr>
              <w:t>Ort. 12.8 yıl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05D3" w:rsidRDefault="00000000">
            <w:r>
              <w:rPr>
                <w:color w:val="333333"/>
                <w:sz w:val="20"/>
                <w:szCs w:val="20"/>
              </w:rPr>
              <w:t>Çok merkezli RCT</w:t>
            </w:r>
          </w:p>
        </w:tc>
        <w:tc>
          <w:tcPr>
            <w:tcW w:w="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05D3" w:rsidRDefault="00000000">
            <w:r>
              <w:rPr>
                <w:color w:val="333333"/>
                <w:sz w:val="20"/>
                <w:szCs w:val="20"/>
              </w:rPr>
              <w:t>110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05D3" w:rsidRDefault="00000000">
            <w:r>
              <w:rPr>
                <w:color w:val="333333"/>
                <w:sz w:val="20"/>
                <w:szCs w:val="20"/>
              </w:rPr>
              <w:t>TVT vs TOT</w:t>
            </w:r>
          </w:p>
        </w:tc>
        <w:tc>
          <w:tcPr>
            <w:tcW w:w="27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05D3" w:rsidRDefault="00000000">
            <w:r>
              <w:rPr>
                <w:color w:val="333333"/>
                <w:sz w:val="20"/>
                <w:szCs w:val="20"/>
              </w:rPr>
              <w:t>TVT lehine SÜİ kürü (p=0.045); OAB farkı yok</w:t>
            </w:r>
          </w:p>
        </w:tc>
      </w:tr>
      <w:tr w:rsidR="003F05D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3F05D3" w:rsidRDefault="00000000">
            <w:r>
              <w:rPr>
                <w:color w:val="333333"/>
                <w:sz w:val="20"/>
                <w:szCs w:val="20"/>
              </w:rPr>
              <w:lastRenderedPageBreak/>
              <w:t>Nian 2025</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3F05D3" w:rsidRDefault="00000000">
            <w:r>
              <w:rPr>
                <w:color w:val="333333"/>
                <w:sz w:val="20"/>
                <w:szCs w:val="20"/>
              </w:rPr>
              <w:t>10–16 yıl</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3F05D3" w:rsidRDefault="00000000">
            <w:r>
              <w:rPr>
                <w:color w:val="333333"/>
                <w:sz w:val="20"/>
                <w:szCs w:val="20"/>
              </w:rPr>
              <w:t>Retrospektif kohort</w:t>
            </w:r>
          </w:p>
        </w:tc>
        <w:tc>
          <w:tcPr>
            <w:tcW w:w="5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3F05D3" w:rsidRDefault="00000000">
            <w:r>
              <w:rPr>
                <w:color w:val="333333"/>
                <w:sz w:val="20"/>
                <w:szCs w:val="20"/>
              </w:rPr>
              <w:t>84</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3F05D3" w:rsidRDefault="00000000">
            <w:r>
              <w:rPr>
                <w:color w:val="333333"/>
                <w:sz w:val="20"/>
                <w:szCs w:val="20"/>
              </w:rPr>
              <w:t>TVT-O</w:t>
            </w:r>
          </w:p>
        </w:tc>
        <w:tc>
          <w:tcPr>
            <w:tcW w:w="27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3F05D3" w:rsidRDefault="00000000">
            <w:r>
              <w:rPr>
                <w:color w:val="333333"/>
                <w:sz w:val="20"/>
                <w:szCs w:val="20"/>
              </w:rPr>
              <w:t>Sübj. etkinlik %94; I-QOL ve ICIQ-SF anlamlı iyileşme</w:t>
            </w:r>
          </w:p>
        </w:tc>
      </w:tr>
      <w:tr w:rsidR="003F05D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05D3" w:rsidRDefault="00000000">
            <w:r>
              <w:rPr>
                <w:color w:val="333333"/>
                <w:sz w:val="20"/>
                <w:szCs w:val="20"/>
              </w:rPr>
              <w:t>van Oorschot 2025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05D3" w:rsidRDefault="00000000">
            <w:r>
              <w:rPr>
                <w:color w:val="333333"/>
                <w:sz w:val="20"/>
                <w:szCs w:val="20"/>
              </w:rPr>
              <w:t>Ort. 11.9 yıl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05D3" w:rsidRDefault="00000000">
            <w:r>
              <w:rPr>
                <w:color w:val="333333"/>
                <w:sz w:val="20"/>
                <w:szCs w:val="20"/>
              </w:rPr>
              <w:t>RCT uzun dönem</w:t>
            </w:r>
          </w:p>
        </w:tc>
        <w:tc>
          <w:tcPr>
            <w:tcW w:w="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05D3" w:rsidRDefault="00000000">
            <w:r>
              <w:rPr>
                <w:color w:val="333333"/>
                <w:sz w:val="20"/>
                <w:szCs w:val="20"/>
              </w:rPr>
              <w:t>184</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05D3" w:rsidRDefault="00000000">
            <w:r>
              <w:rPr>
                <w:color w:val="333333"/>
                <w:sz w:val="20"/>
                <w:szCs w:val="20"/>
              </w:rPr>
              <w:t>MUS vs PFMT</w:t>
            </w:r>
          </w:p>
        </w:tc>
        <w:tc>
          <w:tcPr>
            <w:tcW w:w="27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05D3" w:rsidRDefault="00000000">
            <w:r>
              <w:rPr>
                <w:color w:val="333333"/>
                <w:sz w:val="20"/>
                <w:szCs w:val="20"/>
              </w:rPr>
              <w:t>Cerrahi grupta sürdürülebilir üstünlük; OAB artmadı</w:t>
            </w:r>
          </w:p>
        </w:tc>
      </w:tr>
      <w:tr w:rsidR="003F05D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3F05D3" w:rsidRDefault="00000000">
            <w:r>
              <w:rPr>
                <w:color w:val="333333"/>
                <w:sz w:val="20"/>
                <w:szCs w:val="20"/>
              </w:rPr>
              <w:t>Nilsson 2008</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3F05D3" w:rsidRDefault="00000000">
            <w:r>
              <w:rPr>
                <w:color w:val="333333"/>
                <w:sz w:val="20"/>
                <w:szCs w:val="20"/>
              </w:rPr>
              <w:t>11.5 yıl</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3F05D3" w:rsidRDefault="00000000">
            <w:r>
              <w:rPr>
                <w:color w:val="333333"/>
                <w:sz w:val="20"/>
                <w:szCs w:val="20"/>
              </w:rPr>
              <w:t>Prospektif kohort</w:t>
            </w:r>
          </w:p>
        </w:tc>
        <w:tc>
          <w:tcPr>
            <w:tcW w:w="5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3F05D3" w:rsidRDefault="00000000">
            <w:r>
              <w:rPr>
                <w:color w:val="333333"/>
                <w:sz w:val="20"/>
                <w:szCs w:val="20"/>
              </w:rPr>
              <w:t>69</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3F05D3" w:rsidRDefault="00000000">
            <w:r>
              <w:rPr>
                <w:color w:val="333333"/>
                <w:sz w:val="20"/>
                <w:szCs w:val="20"/>
              </w:rPr>
              <w:t>TVT</w:t>
            </w:r>
          </w:p>
        </w:tc>
        <w:tc>
          <w:tcPr>
            <w:tcW w:w="27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3F05D3" w:rsidRDefault="00000000">
            <w:r>
              <w:rPr>
                <w:color w:val="333333"/>
                <w:sz w:val="20"/>
                <w:szCs w:val="20"/>
              </w:rPr>
              <w:t>Obj. kür %90; geç erozyon yok; PROM stabil</w:t>
            </w:r>
          </w:p>
        </w:tc>
      </w:tr>
      <w:tr w:rsidR="003F05D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05D3" w:rsidRDefault="00000000">
            <w:r>
              <w:rPr>
                <w:color w:val="333333"/>
                <w:sz w:val="20"/>
                <w:szCs w:val="20"/>
              </w:rPr>
              <w:t>Serdinšek 2019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05D3" w:rsidRDefault="00000000">
            <w:r>
              <w:rPr>
                <w:color w:val="333333"/>
                <w:sz w:val="20"/>
                <w:szCs w:val="20"/>
              </w:rPr>
              <w:t>Ort. 10.2 yıl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05D3" w:rsidRDefault="00000000">
            <w:r>
              <w:rPr>
                <w:color w:val="333333"/>
                <w:sz w:val="20"/>
                <w:szCs w:val="20"/>
              </w:rPr>
              <w:t>RCT 10 yıl</w:t>
            </w:r>
          </w:p>
        </w:tc>
        <w:tc>
          <w:tcPr>
            <w:tcW w:w="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05D3" w:rsidRDefault="00000000">
            <w:r>
              <w:rPr>
                <w:color w:val="333333"/>
                <w:sz w:val="20"/>
                <w:szCs w:val="20"/>
              </w:rPr>
              <w:t>94</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05D3" w:rsidRDefault="00000000">
            <w:r>
              <w:rPr>
                <w:color w:val="333333"/>
                <w:sz w:val="20"/>
                <w:szCs w:val="20"/>
              </w:rPr>
              <w:t>TVT-O</w:t>
            </w:r>
          </w:p>
        </w:tc>
        <w:tc>
          <w:tcPr>
            <w:tcW w:w="27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05D3" w:rsidRDefault="00000000">
            <w:r>
              <w:rPr>
                <w:color w:val="333333"/>
                <w:sz w:val="20"/>
                <w:szCs w:val="20"/>
              </w:rPr>
              <w:t>Kür korundu; LUTS %34; UDI/IIQ zamanla kötüleşti</w:t>
            </w:r>
          </w:p>
        </w:tc>
      </w:tr>
    </w:tbl>
    <w:p w:rsidR="003F05D3" w:rsidRDefault="003F05D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F05D3">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6F4F6"/>
            <w:tcMar>
              <w:top w:w="160" w:type="dxa"/>
              <w:left w:w="200" w:type="dxa"/>
              <w:bottom w:w="160" w:type="dxa"/>
              <w:right w:w="200" w:type="dxa"/>
            </w:tcMar>
          </w:tcPr>
          <w:p w:rsidR="003F05D3" w:rsidRDefault="00000000">
            <w:pPr>
              <w:spacing w:after="80"/>
            </w:pPr>
            <w:r>
              <w:rPr>
                <w:b/>
                <w:bCs/>
                <w:color w:val="0B7B8B"/>
              </w:rPr>
              <w:t>Çalışma Seti Özeti</w:t>
            </w:r>
          </w:p>
          <w:p w:rsidR="003F05D3" w:rsidRDefault="00000000">
            <w:pPr>
              <w:spacing w:before="40" w:after="40"/>
            </w:pPr>
            <w:r>
              <w:rPr>
                <w:color w:val="333333"/>
                <w:sz w:val="20"/>
                <w:szCs w:val="20"/>
              </w:rPr>
              <w:t>• 8 çalışma  |  Toplam analiz edilen hasta: ~811  |  Takip aralığı: 10.2 – 25 yıl</w:t>
            </w:r>
          </w:p>
          <w:p w:rsidR="003F05D3" w:rsidRDefault="00000000">
            <w:pPr>
              <w:spacing w:before="40" w:after="40"/>
            </w:pPr>
            <w:r>
              <w:rPr>
                <w:color w:val="333333"/>
                <w:sz w:val="20"/>
                <w:szCs w:val="20"/>
              </w:rPr>
              <w:t>• RCT veya RCT uzun dönem takibi: 5 çalışma (Salo, Offiah, Serdinšek, van Oorschot, Nilsson)</w:t>
            </w:r>
          </w:p>
          <w:p w:rsidR="003F05D3" w:rsidRDefault="00000000">
            <w:pPr>
              <w:spacing w:before="40" w:after="40"/>
            </w:pPr>
            <w:r>
              <w:rPr>
                <w:color w:val="333333"/>
                <w:sz w:val="20"/>
                <w:szCs w:val="20"/>
              </w:rPr>
              <w:t>• Retrospektif / prospektif kohort: 3 çalışma (Lebar, Soderini, Nian)</w:t>
            </w:r>
          </w:p>
          <w:p w:rsidR="003F05D3" w:rsidRDefault="00000000">
            <w:pPr>
              <w:spacing w:before="40" w:after="40"/>
            </w:pPr>
            <w:r>
              <w:rPr>
                <w:color w:val="333333"/>
                <w:sz w:val="20"/>
                <w:szCs w:val="20"/>
              </w:rPr>
              <w:t>• Teknikler: TVT (4 çalışma), TVT-O / TOT (3 çalışma), MUS vs PFMT (1 çalışma)</w:t>
            </w:r>
          </w:p>
        </w:tc>
      </w:tr>
    </w:tbl>
    <w:p w:rsidR="003F05D3" w:rsidRDefault="003F05D3">
      <w:pPr>
        <w:spacing w:before="80" w:after="80"/>
      </w:pPr>
    </w:p>
    <w:p w:rsidR="003F05D3" w:rsidRDefault="00000000">
      <w:pPr>
        <w:pStyle w:val="Heading1"/>
        <w:pBdr>
          <w:bottom w:val="single" w:sz="6" w:space="6" w:color="0B7B8B"/>
        </w:pBdr>
      </w:pPr>
      <w:r>
        <w:t>Kontinans Dayanıklılığı</w:t>
      </w:r>
    </w:p>
    <w:p w:rsidR="003F05D3" w:rsidRDefault="00000000">
      <w:pPr>
        <w:spacing w:before="80" w:after="80" w:line="320" w:lineRule="auto"/>
        <w:jc w:val="both"/>
      </w:pPr>
      <w:r>
        <w:rPr>
          <w:color w:val="333333"/>
        </w:rPr>
        <w:t>Uzun dönem kontinans verileri, MUS prosedürlerinin sağladığı fonksiyonel kazanımın onlarca yıl sürdürülebildiğini ortaya koymaktadır. Bu bulgu, farklı teknikler ve çalışma tasarımları açısından büyük ölçüde tutarlılık göstermektedir.</w:t>
      </w:r>
    </w:p>
    <w:p w:rsidR="003F05D3" w:rsidRDefault="003F05D3">
      <w:pPr>
        <w:spacing w:before="80" w:after="80"/>
      </w:pPr>
    </w:p>
    <w:p w:rsidR="003F05D3" w:rsidRDefault="00000000">
      <w:pPr>
        <w:pStyle w:val="Heading2"/>
      </w:pPr>
      <w:r>
        <w:t>TVT'nin Ultra-Uzun Dönem Dayanıklılığı</w:t>
      </w:r>
    </w:p>
    <w:p w:rsidR="003F05D3" w:rsidRDefault="00000000">
      <w:pPr>
        <w:spacing w:before="80" w:after="80" w:line="320" w:lineRule="auto"/>
        <w:jc w:val="both"/>
      </w:pPr>
      <w:r>
        <w:rPr>
          <w:color w:val="333333"/>
        </w:rPr>
        <w:t>Nilsson ve ark. (2008), TVT'nin 11.5 yıllık prospektif takibinde %90 objektif kür bildirmiş; geç erozyon ya da progresif olumsuz etki saptamamıştır. Soderini ve ark. (2025), ortalama 18 yıllık takipte bu başarıyı %96.3 objektif ve %95.3 subjektif kür ile doğrulamıştır. Lebar ve ark. (2025), 20–25 yıllık takipte hasta bildirimi iyileşme oranını %76.3 olarak saptamıştır; bu görece daha düşük oran, uzun vadede biriken OAB semptomları ve yaşa bağlı mesane değişikliklerini yansıtmaktadır.</w:t>
      </w:r>
    </w:p>
    <w:p w:rsidR="003F05D3" w:rsidRDefault="003F05D3">
      <w:pPr>
        <w:spacing w:before="80" w:after="80"/>
      </w:pPr>
    </w:p>
    <w:p w:rsidR="003F05D3" w:rsidRDefault="00000000">
      <w:pPr>
        <w:pStyle w:val="Heading2"/>
      </w:pPr>
      <w:r>
        <w:t>TVT vs TOT: 16 Yıllık RCT Verisi</w:t>
      </w:r>
    </w:p>
    <w:p w:rsidR="003F05D3" w:rsidRDefault="00000000">
      <w:pPr>
        <w:spacing w:before="80" w:after="80" w:line="320" w:lineRule="auto"/>
        <w:jc w:val="both"/>
      </w:pPr>
      <w:r>
        <w:rPr>
          <w:color w:val="333333"/>
        </w:rPr>
        <w:t>Salo ve ark. (2023), 16 yıllık medyan takipte TVT ile TOT arasında subjektif kür, PFDI-20 ve PGI-I açısından anlamlı fark saptamamıştır. Buna karşın Offiah ve ark. (2021), 12.8 yıllık çok merkezli takipte TVT lehine anlamlı SÜİ kür üstünlüğü bildirmiştir (%41.8'e karşı %21.8, p=0.045). Bu tutarsızlık; atrisyon oranları, kullanılan ölçüm araçları ve baseline özelliklerindeki farklılıklardan kaynaklanmakta olup teknik seçimin uzun dönem sonuçlara katkısının hâlâ tartışmalı olduğunu göstermektedir.</w:t>
      </w:r>
    </w:p>
    <w:p w:rsidR="003F05D3" w:rsidRDefault="003F05D3">
      <w:pPr>
        <w:spacing w:before="80" w:after="80"/>
      </w:pPr>
    </w:p>
    <w:p w:rsidR="003F05D3" w:rsidRDefault="00000000">
      <w:pPr>
        <w:pStyle w:val="Heading2"/>
      </w:pPr>
      <w:r>
        <w:t>Cerrahi vs Fizyoterapi: 12 Yıllık Kanıt</w:t>
      </w:r>
    </w:p>
    <w:p w:rsidR="003F05D3" w:rsidRDefault="00000000">
      <w:pPr>
        <w:spacing w:before="80" w:after="80" w:line="320" w:lineRule="auto"/>
        <w:jc w:val="both"/>
      </w:pPr>
      <w:r>
        <w:rPr>
          <w:color w:val="333333"/>
        </w:rPr>
        <w:lastRenderedPageBreak/>
        <w:t>van Oorschot ve ark. (2025), 11.9 yıllık RCT takibinde MUS cerrahisinin pelvik taban fizyoterapisine kıyasla SÜİ tedavisinde sürdürülebilir üstünlüğünü doğrulamıştır. Fizyoterapi grubundan cerrahiye çapraz geçiş oranının %86.9'a ulaşması, konservatif yaklaşımın uzun vadeli yetersizliğini ve MUS'un birincil tedavi standardı olma konumunu güçlü biçimde desteklemektedir.</w:t>
      </w:r>
    </w:p>
    <w:p w:rsidR="003F05D3" w:rsidRDefault="003F05D3">
      <w:pPr>
        <w:spacing w:before="80" w:after="80"/>
      </w:pP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000"/>
        <w:gridCol w:w="1400"/>
        <w:gridCol w:w="2200"/>
        <w:gridCol w:w="3360"/>
      </w:tblGrid>
      <w:tr w:rsidR="003F05D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B7B8B"/>
            <w:tcMar>
              <w:top w:w="100" w:type="dxa"/>
              <w:left w:w="120" w:type="dxa"/>
              <w:bottom w:w="100" w:type="dxa"/>
              <w:right w:w="120" w:type="dxa"/>
            </w:tcMar>
          </w:tcPr>
          <w:p w:rsidR="003F05D3" w:rsidRDefault="00000000">
            <w:r>
              <w:rPr>
                <w:b/>
                <w:bCs/>
                <w:color w:val="FFFFFF"/>
                <w:sz w:val="20"/>
                <w:szCs w:val="20"/>
              </w:rPr>
              <w:t>Çalışma</w:t>
            </w:r>
          </w:p>
        </w:tc>
        <w:tc>
          <w:tcPr>
            <w:tcW w:w="1000" w:type="dxa"/>
            <w:tcBorders>
              <w:top w:val="single" w:sz="1" w:space="0" w:color="CCCCCC"/>
              <w:left w:val="single" w:sz="1" w:space="0" w:color="CCCCCC"/>
              <w:bottom w:val="single" w:sz="1" w:space="0" w:color="CCCCCC"/>
              <w:right w:val="single" w:sz="1" w:space="0" w:color="CCCCCC"/>
            </w:tcBorders>
            <w:shd w:val="clear" w:color="auto" w:fill="0B7B8B"/>
            <w:tcMar>
              <w:top w:w="100" w:type="dxa"/>
              <w:left w:w="120" w:type="dxa"/>
              <w:bottom w:w="100" w:type="dxa"/>
              <w:right w:w="120" w:type="dxa"/>
            </w:tcMar>
          </w:tcPr>
          <w:p w:rsidR="003F05D3" w:rsidRDefault="00000000">
            <w:r>
              <w:rPr>
                <w:b/>
                <w:bCs/>
                <w:color w:val="FFFFFF"/>
                <w:sz w:val="20"/>
                <w:szCs w:val="20"/>
              </w:rPr>
              <w:t>Teknik</w:t>
            </w:r>
          </w:p>
        </w:tc>
        <w:tc>
          <w:tcPr>
            <w:tcW w:w="1400" w:type="dxa"/>
            <w:tcBorders>
              <w:top w:val="single" w:sz="1" w:space="0" w:color="CCCCCC"/>
              <w:left w:val="single" w:sz="1" w:space="0" w:color="CCCCCC"/>
              <w:bottom w:val="single" w:sz="1" w:space="0" w:color="CCCCCC"/>
              <w:right w:val="single" w:sz="1" w:space="0" w:color="CCCCCC"/>
            </w:tcBorders>
            <w:shd w:val="clear" w:color="auto" w:fill="0B7B8B"/>
            <w:tcMar>
              <w:top w:w="100" w:type="dxa"/>
              <w:left w:w="120" w:type="dxa"/>
              <w:bottom w:w="100" w:type="dxa"/>
              <w:right w:w="120" w:type="dxa"/>
            </w:tcMar>
          </w:tcPr>
          <w:p w:rsidR="003F05D3" w:rsidRDefault="00000000">
            <w:r>
              <w:rPr>
                <w:b/>
                <w:bCs/>
                <w:color w:val="FFFFFF"/>
                <w:sz w:val="20"/>
                <w:szCs w:val="20"/>
              </w:rPr>
              <w:t>Takip</w:t>
            </w:r>
          </w:p>
        </w:tc>
        <w:tc>
          <w:tcPr>
            <w:tcW w:w="2200" w:type="dxa"/>
            <w:tcBorders>
              <w:top w:val="single" w:sz="1" w:space="0" w:color="CCCCCC"/>
              <w:left w:val="single" w:sz="1" w:space="0" w:color="CCCCCC"/>
              <w:bottom w:val="single" w:sz="1" w:space="0" w:color="CCCCCC"/>
              <w:right w:val="single" w:sz="1" w:space="0" w:color="CCCCCC"/>
            </w:tcBorders>
            <w:shd w:val="clear" w:color="auto" w:fill="0B7B8B"/>
            <w:tcMar>
              <w:top w:w="100" w:type="dxa"/>
              <w:left w:w="120" w:type="dxa"/>
              <w:bottom w:w="100" w:type="dxa"/>
              <w:right w:w="120" w:type="dxa"/>
            </w:tcMar>
          </w:tcPr>
          <w:p w:rsidR="003F05D3" w:rsidRDefault="00000000">
            <w:r>
              <w:rPr>
                <w:b/>
                <w:bCs/>
                <w:color w:val="FFFFFF"/>
                <w:sz w:val="20"/>
                <w:szCs w:val="20"/>
              </w:rPr>
              <w:t>Kür Oranı</w:t>
            </w:r>
          </w:p>
        </w:tc>
        <w:tc>
          <w:tcPr>
            <w:tcW w:w="3360" w:type="dxa"/>
            <w:tcBorders>
              <w:top w:val="single" w:sz="1" w:space="0" w:color="CCCCCC"/>
              <w:left w:val="single" w:sz="1" w:space="0" w:color="CCCCCC"/>
              <w:bottom w:val="single" w:sz="1" w:space="0" w:color="CCCCCC"/>
              <w:right w:val="single" w:sz="1" w:space="0" w:color="CCCCCC"/>
            </w:tcBorders>
            <w:shd w:val="clear" w:color="auto" w:fill="0B7B8B"/>
            <w:tcMar>
              <w:top w:w="100" w:type="dxa"/>
              <w:left w:w="120" w:type="dxa"/>
              <w:bottom w:w="100" w:type="dxa"/>
              <w:right w:w="120" w:type="dxa"/>
            </w:tcMar>
          </w:tcPr>
          <w:p w:rsidR="003F05D3" w:rsidRDefault="00000000">
            <w:r>
              <w:rPr>
                <w:b/>
                <w:bCs/>
                <w:color w:val="FFFFFF"/>
                <w:sz w:val="20"/>
                <w:szCs w:val="20"/>
              </w:rPr>
              <w:t>Komplikasyon / Not</w:t>
            </w:r>
          </w:p>
        </w:tc>
      </w:tr>
      <w:tr w:rsidR="003F05D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3F05D3" w:rsidRDefault="00000000">
            <w:r>
              <w:rPr>
                <w:color w:val="333333"/>
                <w:sz w:val="20"/>
                <w:szCs w:val="20"/>
              </w:rPr>
              <w:t>Nilsson 2008</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3F05D3" w:rsidRDefault="00000000">
            <w:r>
              <w:rPr>
                <w:color w:val="333333"/>
                <w:sz w:val="20"/>
                <w:szCs w:val="20"/>
              </w:rPr>
              <w:t>TVT</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3F05D3" w:rsidRDefault="00000000">
            <w:r>
              <w:rPr>
                <w:color w:val="333333"/>
                <w:sz w:val="20"/>
                <w:szCs w:val="20"/>
              </w:rPr>
              <w:t>11.5 yıl</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3F05D3" w:rsidRDefault="00000000">
            <w:r>
              <w:rPr>
                <w:color w:val="333333"/>
                <w:sz w:val="20"/>
                <w:szCs w:val="20"/>
              </w:rPr>
              <w:t>%90 objektif kür</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3F05D3" w:rsidRDefault="00000000">
            <w:r>
              <w:rPr>
                <w:color w:val="333333"/>
                <w:sz w:val="20"/>
                <w:szCs w:val="20"/>
              </w:rPr>
              <w:t>Geç erozyon yok; PROM stabil</w:t>
            </w:r>
          </w:p>
        </w:tc>
      </w:tr>
      <w:tr w:rsidR="003F05D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05D3" w:rsidRDefault="00000000">
            <w:r>
              <w:rPr>
                <w:color w:val="333333"/>
                <w:sz w:val="20"/>
                <w:szCs w:val="20"/>
              </w:rPr>
              <w:t>Soderini 2025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05D3" w:rsidRDefault="00000000">
            <w:r>
              <w:rPr>
                <w:color w:val="333333"/>
                <w:sz w:val="20"/>
                <w:szCs w:val="20"/>
              </w:rPr>
              <w:t>TVT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05D3" w:rsidRDefault="00000000">
            <w:r>
              <w:rPr>
                <w:color w:val="333333"/>
                <w:sz w:val="20"/>
                <w:szCs w:val="20"/>
              </w:rPr>
              <w:t>Ort. 18 yıl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05D3" w:rsidRDefault="00000000">
            <w:r>
              <w:rPr>
                <w:color w:val="333333"/>
                <w:sz w:val="20"/>
                <w:szCs w:val="20"/>
              </w:rPr>
              <w:t>%96.3 obj / %95.3 sbj</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05D3" w:rsidRDefault="00000000">
            <w:r>
              <w:rPr>
                <w:color w:val="333333"/>
                <w:sz w:val="20"/>
                <w:szCs w:val="20"/>
              </w:rPr>
              <w:t>De novo OAB %9; mesh ekstrüzyon %7.1</w:t>
            </w:r>
          </w:p>
        </w:tc>
      </w:tr>
      <w:tr w:rsidR="003F05D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3F05D3" w:rsidRDefault="00000000">
            <w:r>
              <w:rPr>
                <w:color w:val="333333"/>
                <w:sz w:val="20"/>
                <w:szCs w:val="20"/>
              </w:rPr>
              <w:t>Lebar 2025</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3F05D3" w:rsidRDefault="00000000">
            <w:r>
              <w:rPr>
                <w:color w:val="333333"/>
                <w:sz w:val="20"/>
                <w:szCs w:val="20"/>
              </w:rPr>
              <w:t>TVT</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3F05D3" w:rsidRDefault="00000000">
            <w:r>
              <w:rPr>
                <w:color w:val="333333"/>
                <w:sz w:val="20"/>
                <w:szCs w:val="20"/>
              </w:rPr>
              <w:t>20–25 yıl</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3F05D3" w:rsidRDefault="00000000">
            <w:r>
              <w:rPr>
                <w:color w:val="333333"/>
                <w:sz w:val="20"/>
                <w:szCs w:val="20"/>
              </w:rPr>
              <w:t>%76.3 hasta bildirimi</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3F05D3" w:rsidRDefault="00000000">
            <w:r>
              <w:rPr>
                <w:color w:val="333333"/>
                <w:sz w:val="20"/>
                <w:szCs w:val="20"/>
              </w:rPr>
              <w:t>Üriner retansiyon %13.3; erozyon %0.7; reop %9.6</w:t>
            </w:r>
          </w:p>
        </w:tc>
      </w:tr>
      <w:tr w:rsidR="003F05D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05D3" w:rsidRDefault="00000000">
            <w:r>
              <w:rPr>
                <w:color w:val="333333"/>
                <w:sz w:val="20"/>
                <w:szCs w:val="20"/>
              </w:rPr>
              <w:t>Nian 2025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05D3" w:rsidRDefault="00000000">
            <w:r>
              <w:rPr>
                <w:color w:val="333333"/>
                <w:sz w:val="20"/>
                <w:szCs w:val="20"/>
              </w:rPr>
              <w:t>TVT-O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05D3" w:rsidRDefault="00000000">
            <w:r>
              <w:rPr>
                <w:color w:val="333333"/>
                <w:sz w:val="20"/>
                <w:szCs w:val="20"/>
              </w:rPr>
              <w:t>10–16 yıl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05D3" w:rsidRDefault="00000000">
            <w:r>
              <w:rPr>
                <w:color w:val="333333"/>
                <w:sz w:val="20"/>
                <w:szCs w:val="20"/>
              </w:rPr>
              <w:t>%94 subjektif etkinlik</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05D3" w:rsidRDefault="00000000">
            <w:r>
              <w:rPr>
                <w:color w:val="333333"/>
                <w:sz w:val="20"/>
                <w:szCs w:val="20"/>
              </w:rPr>
              <w:t>De novo urge %11.9; voiding güçlük %2.4</w:t>
            </w:r>
          </w:p>
        </w:tc>
      </w:tr>
      <w:tr w:rsidR="003F05D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3F05D3" w:rsidRDefault="00000000">
            <w:r>
              <w:rPr>
                <w:color w:val="333333"/>
                <w:sz w:val="20"/>
                <w:szCs w:val="20"/>
              </w:rPr>
              <w:t>Salo 2023</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3F05D3" w:rsidRDefault="00000000">
            <w:r>
              <w:rPr>
                <w:color w:val="333333"/>
                <w:sz w:val="20"/>
                <w:szCs w:val="20"/>
              </w:rPr>
              <w:t>TVT vs TOT</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3F05D3" w:rsidRDefault="00000000">
            <w:r>
              <w:rPr>
                <w:color w:val="333333"/>
                <w:sz w:val="20"/>
                <w:szCs w:val="20"/>
              </w:rPr>
              <w:t>Med. 16 yıl</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3F05D3" w:rsidRDefault="00000000">
            <w:r>
              <w:rPr>
                <w:color w:val="333333"/>
                <w:sz w:val="20"/>
                <w:szCs w:val="20"/>
              </w:rPr>
              <w:t>Her iki grupta eşdeğer</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3F05D3" w:rsidRDefault="00000000">
            <w:r>
              <w:rPr>
                <w:color w:val="333333"/>
                <w:sz w:val="20"/>
                <w:szCs w:val="20"/>
              </w:rPr>
              <w:t>De novo urge %7–10; istatistiksel güç %17</w:t>
            </w:r>
          </w:p>
        </w:tc>
      </w:tr>
      <w:tr w:rsidR="003F05D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05D3" w:rsidRDefault="00000000">
            <w:r>
              <w:rPr>
                <w:color w:val="333333"/>
                <w:sz w:val="20"/>
                <w:szCs w:val="20"/>
              </w:rPr>
              <w:t>Offiah 2021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05D3" w:rsidRDefault="00000000">
            <w:r>
              <w:rPr>
                <w:color w:val="333333"/>
                <w:sz w:val="20"/>
                <w:szCs w:val="20"/>
              </w:rPr>
              <w:t>TVT vs TOT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05D3" w:rsidRDefault="00000000">
            <w:r>
              <w:rPr>
                <w:color w:val="333333"/>
                <w:sz w:val="20"/>
                <w:szCs w:val="20"/>
              </w:rPr>
              <w:t>Ort. 12.8 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05D3" w:rsidRDefault="00000000">
            <w:r>
              <w:rPr>
                <w:color w:val="333333"/>
                <w:sz w:val="20"/>
                <w:szCs w:val="20"/>
              </w:rPr>
              <w:t>TVT üstün (p=0.045)</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05D3" w:rsidRDefault="00000000">
            <w:r>
              <w:rPr>
                <w:color w:val="333333"/>
                <w:sz w:val="20"/>
                <w:szCs w:val="20"/>
              </w:rPr>
              <w:t>OAB/UUI farkı yok; ağrı ve retansiyon düşük</w:t>
            </w:r>
          </w:p>
        </w:tc>
      </w:tr>
      <w:tr w:rsidR="003F05D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3F05D3" w:rsidRDefault="00000000">
            <w:r>
              <w:rPr>
                <w:color w:val="333333"/>
                <w:sz w:val="20"/>
                <w:szCs w:val="20"/>
              </w:rPr>
              <w:t>Serdinšek 2019</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3F05D3" w:rsidRDefault="00000000">
            <w:r>
              <w:rPr>
                <w:color w:val="333333"/>
                <w:sz w:val="20"/>
                <w:szCs w:val="20"/>
              </w:rPr>
              <w:t>TVT-O</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3F05D3" w:rsidRDefault="00000000">
            <w:r>
              <w:rPr>
                <w:color w:val="333333"/>
                <w:sz w:val="20"/>
                <w:szCs w:val="20"/>
              </w:rPr>
              <w:t>Ort. 10.2 y</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3F05D3" w:rsidRDefault="00000000">
            <w:r>
              <w:rPr>
                <w:color w:val="333333"/>
                <w:sz w:val="20"/>
                <w:szCs w:val="20"/>
              </w:rPr>
              <w:t>Eşdeğer (NS)</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3F05D3" w:rsidRDefault="00000000">
            <w:r>
              <w:rPr>
                <w:color w:val="333333"/>
                <w:sz w:val="20"/>
                <w:szCs w:val="20"/>
              </w:rPr>
              <w:t>LUTS %34; disparoni %6.4; erozyon yok</w:t>
            </w:r>
          </w:p>
        </w:tc>
      </w:tr>
      <w:tr w:rsidR="003F05D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05D3" w:rsidRDefault="00000000">
            <w:r>
              <w:rPr>
                <w:color w:val="333333"/>
                <w:sz w:val="20"/>
                <w:szCs w:val="20"/>
              </w:rPr>
              <w:t>van Oorschot 2025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05D3" w:rsidRDefault="00000000">
            <w:r>
              <w:rPr>
                <w:color w:val="333333"/>
                <w:sz w:val="20"/>
                <w:szCs w:val="20"/>
              </w:rPr>
              <w:t>MUS vs PFMT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05D3" w:rsidRDefault="00000000">
            <w:r>
              <w:rPr>
                <w:color w:val="333333"/>
                <w:sz w:val="20"/>
                <w:szCs w:val="20"/>
              </w:rPr>
              <w:t>Ort. 11.9 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05D3" w:rsidRDefault="00000000">
            <w:r>
              <w:rPr>
                <w:color w:val="333333"/>
                <w:sz w:val="20"/>
                <w:szCs w:val="20"/>
              </w:rPr>
              <w:t>Cerrahi grupta üstün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05D3" w:rsidRDefault="00000000">
            <w:r>
              <w:rPr>
                <w:color w:val="333333"/>
                <w:sz w:val="20"/>
                <w:szCs w:val="20"/>
              </w:rPr>
              <w:t>Reop %4.6; OAB artmadı; PFMT çapraz geçiş %86.9</w:t>
            </w:r>
          </w:p>
        </w:tc>
      </w:tr>
    </w:tbl>
    <w:p w:rsidR="003F05D3" w:rsidRDefault="003F05D3">
      <w:pPr>
        <w:spacing w:before="80" w:after="80"/>
      </w:pPr>
    </w:p>
    <w:p w:rsidR="003F05D3" w:rsidRDefault="00000000">
      <w:pPr>
        <w:pStyle w:val="Heading1"/>
        <w:pBdr>
          <w:bottom w:val="single" w:sz="6" w:space="6" w:color="0B7B8B"/>
        </w:pBdr>
      </w:pPr>
      <w:r>
        <w:t>Fonksiyonel Semptom Yükü: Kontinansın Ötesi</w:t>
      </w:r>
    </w:p>
    <w:p w:rsidR="003F05D3" w:rsidRDefault="00000000">
      <w:pPr>
        <w:spacing w:before="80" w:after="80" w:line="320" w:lineRule="auto"/>
        <w:jc w:val="both"/>
      </w:pPr>
      <w:r>
        <w:rPr>
          <w:color w:val="333333"/>
        </w:rPr>
        <w:t>Uzun dönem verilerinin en kritik mesajı, yüksek kür oranlarının tek başına klinik başarıyı garantilemediğidir. LUTS yükü, OAB seyri ve hasta memnuniyeti, kontinanstan bağımsız klinik boyutlar olarak değerlendirilmelidir.</w:t>
      </w:r>
    </w:p>
    <w:p w:rsidR="003F05D3" w:rsidRDefault="003F05D3">
      <w:pPr>
        <w:spacing w:before="80" w:after="80"/>
      </w:pPr>
    </w:p>
    <w:p w:rsidR="003F05D3" w:rsidRDefault="00000000">
      <w:pPr>
        <w:pStyle w:val="Heading2"/>
      </w:pPr>
      <w:r>
        <w:t>LUTS Yükünün Zamanla Artması</w:t>
      </w:r>
    </w:p>
    <w:p w:rsidR="003F05D3" w:rsidRDefault="00000000">
      <w:pPr>
        <w:spacing w:before="80" w:after="80" w:line="320" w:lineRule="auto"/>
        <w:jc w:val="both"/>
      </w:pPr>
      <w:r>
        <w:rPr>
          <w:color w:val="333333"/>
        </w:rPr>
        <w:t>Serdinšek ve ark. (2019), içten-dışa ve dıştan-içe TVT-O tekniklerini karşılaştıran 10.2 yıllık RCT'de objektif kontinansın korunduğunu; ancak UDI ve IIQ distres skorlarının anlamlı biçimde kötüleştiğini ve LUTS prevalansının %34'e ulaştığını bildirmiştir. Bu bulgu, kontinansın korunmasının fonksiyonel yükün artmasını engellemediğini açıkça ortaya koymaktadır.</w:t>
      </w:r>
    </w:p>
    <w:p w:rsidR="003F05D3" w:rsidRDefault="003F05D3">
      <w:pPr>
        <w:spacing w:before="80" w:after="80"/>
      </w:pPr>
    </w:p>
    <w:p w:rsidR="003F05D3" w:rsidRDefault="00000000">
      <w:pPr>
        <w:pStyle w:val="Heading2"/>
      </w:pPr>
      <w:r>
        <w:t>De Novo Urge İnkontinans</w:t>
      </w:r>
    </w:p>
    <w:p w:rsidR="003F05D3" w:rsidRDefault="00000000">
      <w:pPr>
        <w:spacing w:before="80" w:after="80" w:line="320" w:lineRule="auto"/>
        <w:jc w:val="both"/>
      </w:pPr>
      <w:r>
        <w:rPr>
          <w:color w:val="333333"/>
        </w:rPr>
        <w:t>De novo urge inkontinans oranları çalışmalar arasında tutarlı bir örüntü sergilemektedir: Salo 2023'te %7–10, Nian 2025'te %11.9, Soderini 2025'te %9. Offiah 2021 ve van Oorschot 2025, uzun dönemde OAB semptomları açısından teknikler arasında anlamlı fark saptamamıştır. Bu oranların kümülatif birikimi ve hasta memnuniyeti üzerindeki doğrudan etkisi, klinik önemini artırmaktadır.</w:t>
      </w:r>
    </w:p>
    <w:p w:rsidR="003F05D3" w:rsidRDefault="003F05D3">
      <w:pPr>
        <w:spacing w:before="80" w:after="80"/>
      </w:pPr>
    </w:p>
    <w:p w:rsidR="003F05D3" w:rsidRDefault="00000000">
      <w:pPr>
        <w:pStyle w:val="Heading2"/>
      </w:pPr>
      <w:r>
        <w:lastRenderedPageBreak/>
        <w:t>Sübjektif-Objektif Ayrışma</w:t>
      </w:r>
    </w:p>
    <w:p w:rsidR="003F05D3" w:rsidRDefault="00000000">
      <w:pPr>
        <w:spacing w:before="80" w:after="80" w:line="320" w:lineRule="auto"/>
        <w:jc w:val="both"/>
      </w:pPr>
      <w:r>
        <w:rPr>
          <w:color w:val="333333"/>
        </w:rPr>
        <w:t>Lebar ve ark. (2025), 20–25 yıllık takipte hasta bildirimi iyileşmesinin (%76.3) objektif kür oranlarının belirgin biçimde altında kaldığını göstermiştir. Bu ayrışma; uzun dönemde hasta memnuniyetinin yalnızca kontinansla değil, OAB semptomları, yaşa bağlı mesane değişiklikleri ve seksüel fonksiyon gibi faktörlerle de şekillendiğini ortaya koymaktadır. PGI-I'nin PROM skorlarıyla güçlü korelasyonu, global algılanan iyileşmenin klinik değerlendirmede zorunlu bir ölçüt olduğunu desteklemektedir.</w:t>
      </w:r>
    </w:p>
    <w:p w:rsidR="003F05D3" w:rsidRDefault="003F05D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F05D3">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6F4F6"/>
            <w:tcMar>
              <w:top w:w="160" w:type="dxa"/>
              <w:left w:w="200" w:type="dxa"/>
              <w:bottom w:w="160" w:type="dxa"/>
              <w:right w:w="200" w:type="dxa"/>
            </w:tcMar>
          </w:tcPr>
          <w:p w:rsidR="003F05D3" w:rsidRDefault="00000000">
            <w:pPr>
              <w:spacing w:after="80"/>
            </w:pPr>
            <w:r>
              <w:rPr>
                <w:b/>
                <w:bCs/>
                <w:color w:val="0B7B8B"/>
              </w:rPr>
              <w:t>Klinik Mesaj: Kontinans = Başarı Değildir</w:t>
            </w:r>
          </w:p>
          <w:p w:rsidR="003F05D3" w:rsidRDefault="00000000">
            <w:pPr>
              <w:spacing w:before="40" w:after="40"/>
            </w:pPr>
            <w:r>
              <w:rPr>
                <w:color w:val="333333"/>
                <w:sz w:val="20"/>
                <w:szCs w:val="20"/>
              </w:rPr>
              <w:t>• Uzun dönemde yüksek kür oranları, artan LUTS yüküyle bir arada bulunabilir</w:t>
            </w:r>
          </w:p>
          <w:p w:rsidR="003F05D3" w:rsidRDefault="00000000">
            <w:pPr>
              <w:spacing w:before="40" w:after="40"/>
            </w:pPr>
            <w:r>
              <w:rPr>
                <w:color w:val="333333"/>
                <w:sz w:val="20"/>
                <w:szCs w:val="20"/>
              </w:rPr>
              <w:t>• De novo urge inkontinans %7–12 arasında seyretmekte; hasta memnuniyetini doğrudan etkilemektedir</w:t>
            </w:r>
          </w:p>
          <w:p w:rsidR="003F05D3" w:rsidRDefault="00000000">
            <w:pPr>
              <w:spacing w:before="40" w:after="40"/>
            </w:pPr>
            <w:r>
              <w:rPr>
                <w:color w:val="333333"/>
                <w:sz w:val="20"/>
                <w:szCs w:val="20"/>
              </w:rPr>
              <w:t>• Sübjektif-objektif ayrışma özellikle &gt;15 yıllık takiplerde belirginleşmektedir</w:t>
            </w:r>
          </w:p>
          <w:p w:rsidR="003F05D3" w:rsidRDefault="00000000">
            <w:pPr>
              <w:spacing w:before="40" w:after="40"/>
            </w:pPr>
            <w:r>
              <w:rPr>
                <w:color w:val="333333"/>
                <w:sz w:val="20"/>
                <w:szCs w:val="20"/>
              </w:rPr>
              <w:t>• Baseline OAB yükü, uzun dönem semptom seyri için en güçlü prediktördür</w:t>
            </w:r>
          </w:p>
          <w:p w:rsidR="003F05D3" w:rsidRDefault="00000000">
            <w:pPr>
              <w:spacing w:before="40" w:after="40"/>
            </w:pPr>
            <w:r>
              <w:rPr>
                <w:color w:val="333333"/>
                <w:sz w:val="20"/>
                <w:szCs w:val="20"/>
              </w:rPr>
              <w:t>• Uzun dönem izlemde yalnızca 'kür' değil, domain-bazlı fonksiyonel değerlendirme şarttır</w:t>
            </w:r>
          </w:p>
        </w:tc>
      </w:tr>
    </w:tbl>
    <w:p w:rsidR="003F05D3" w:rsidRDefault="003F05D3">
      <w:pPr>
        <w:spacing w:before="80" w:after="80"/>
      </w:pPr>
    </w:p>
    <w:p w:rsidR="003F05D3" w:rsidRDefault="00000000">
      <w:pPr>
        <w:pStyle w:val="Heading1"/>
        <w:pBdr>
          <w:bottom w:val="single" w:sz="6" w:space="6" w:color="0B7B8B"/>
        </w:pBdr>
      </w:pPr>
      <w:r>
        <w:t>Uzun Dönem Komplikasyon Profili</w:t>
      </w:r>
    </w:p>
    <w:p w:rsidR="003F05D3" w:rsidRDefault="00000000">
      <w:pPr>
        <w:pStyle w:val="Heading2"/>
      </w:pPr>
      <w:r>
        <w:t>Mesh Erozyonu ve Ekstrüzyon</w:t>
      </w:r>
    </w:p>
    <w:p w:rsidR="003F05D3" w:rsidRDefault="00000000">
      <w:pPr>
        <w:spacing w:before="80" w:after="80" w:line="320" w:lineRule="auto"/>
        <w:jc w:val="both"/>
      </w:pPr>
      <w:r>
        <w:rPr>
          <w:color w:val="333333"/>
        </w:rPr>
        <w:t>Uzun dönem mesh komplikasyon oranları çalışmalar arasında belirgin farklılık göstermektedir. Soderini (2025), 18 yıllık takipte %7.1 mesh ekstrüzyon bildirirken Lebar (2025), 20–25 yıllık takipte yalnızca %0.7 erozyon oranı saptamıştır. Nilsson (2008), 11.5 yılda geç erozyon vakası bildirmemiştir. Bu farklılıklar; cerrahi teknik, mesh özellikleri ve takip metodolojisindeki değişkenleri yansıtmaktadır.</w:t>
      </w:r>
    </w:p>
    <w:p w:rsidR="003F05D3" w:rsidRDefault="003F05D3">
      <w:pPr>
        <w:spacing w:before="80" w:after="80"/>
      </w:pPr>
    </w:p>
    <w:p w:rsidR="003F05D3" w:rsidRDefault="00000000">
      <w:pPr>
        <w:pStyle w:val="Heading2"/>
      </w:pPr>
      <w:r>
        <w:t>Üriner Retansiyon ve Reoperasyon</w:t>
      </w:r>
    </w:p>
    <w:p w:rsidR="003F05D3" w:rsidRDefault="00000000">
      <w:pPr>
        <w:spacing w:before="80" w:after="80" w:line="320" w:lineRule="auto"/>
        <w:jc w:val="both"/>
      </w:pPr>
      <w:r>
        <w:rPr>
          <w:color w:val="333333"/>
        </w:rPr>
        <w:t>Lebar (2025), 20–25 yıllık seride %13.3 üriner retansiyon ve %9.6 tekrar TVT uygulaması bildirmiştir. van Oorschot (2025)'ta genel reoperasyon oranı %4.6'dır. Serdinšek (2019), 10.2 yıllık takipte %6.4 disparoni bildirirken mesh ekstrüzyon vakası saptamamıştır. Bu veriler, uzun dönem izlemde aktif sorgulama gerektiren komplikasyonların varlığını ortaya koymaktadır.</w:t>
      </w:r>
    </w:p>
    <w:p w:rsidR="003F05D3" w:rsidRDefault="003F05D3">
      <w:pPr>
        <w:spacing w:before="80" w:after="80"/>
      </w:pPr>
    </w:p>
    <w:p w:rsidR="003F05D3" w:rsidRDefault="00000000">
      <w:pPr>
        <w:pStyle w:val="Heading1"/>
        <w:pBdr>
          <w:bottom w:val="single" w:sz="6" w:space="6" w:color="0B7B8B"/>
        </w:pBdr>
      </w:pPr>
      <w:r>
        <w:t>Mevcut Kanıtın Sınırlılıkları</w:t>
      </w:r>
    </w:p>
    <w:p w:rsidR="003F05D3" w:rsidRDefault="00000000">
      <w:pPr>
        <w:spacing w:before="80" w:after="80" w:line="320" w:lineRule="auto"/>
        <w:jc w:val="both"/>
      </w:pPr>
      <w:r>
        <w:rPr>
          <w:color w:val="333333"/>
        </w:rPr>
        <w:t>Bu analizin klinik uygulamaya aktarılmasında aşağıdaki metodolojik sınırlılıklar göz önünde bulundurulmalıdır:</w:t>
      </w:r>
    </w:p>
    <w:p w:rsidR="003F05D3" w:rsidRDefault="003F05D3">
      <w:pPr>
        <w:spacing w:before="80" w:after="80"/>
      </w:pPr>
    </w:p>
    <w:p w:rsidR="003F05D3" w:rsidRDefault="00000000">
      <w:pPr>
        <w:pStyle w:val="ListParagraph"/>
        <w:numPr>
          <w:ilvl w:val="0"/>
          <w:numId w:val="2"/>
        </w:numPr>
        <w:spacing w:before="60" w:after="60"/>
      </w:pPr>
      <w:r>
        <w:rPr>
          <w:color w:val="333333"/>
        </w:rPr>
        <w:t>Yüksek atrisyon: Tüm uzun dönem çalışmalarda hasta sayısı orijinal kohortun %43–77'sine gerilemiştir; bu durum sağ kalım yanlılığı (survivorship bias) riskini beraberinde getirmektedir</w:t>
      </w:r>
    </w:p>
    <w:p w:rsidR="003F05D3" w:rsidRDefault="00000000">
      <w:pPr>
        <w:pStyle w:val="ListParagraph"/>
        <w:numPr>
          <w:ilvl w:val="0"/>
          <w:numId w:val="2"/>
        </w:numPr>
        <w:spacing w:before="60" w:after="60"/>
      </w:pPr>
      <w:r>
        <w:rPr>
          <w:color w:val="333333"/>
        </w:rPr>
        <w:lastRenderedPageBreak/>
        <w:t>Baseline-adjusted analiz eksikliği: OAB/LUTS bulgularının büyük bölümü preoperatif değerlere göre düzeltilmeden raporlanmıştır; LUTS artışının yaşlanmaya mı yoksa prosedüre mi bağlı olduğu belirsizleşmektedir</w:t>
      </w:r>
    </w:p>
    <w:p w:rsidR="003F05D3" w:rsidRDefault="00000000">
      <w:pPr>
        <w:pStyle w:val="ListParagraph"/>
        <w:numPr>
          <w:ilvl w:val="0"/>
          <w:numId w:val="2"/>
        </w:numPr>
        <w:spacing w:before="60" w:after="60"/>
      </w:pPr>
      <w:r>
        <w:rPr>
          <w:color w:val="333333"/>
        </w:rPr>
        <w:t>Heterojen PROM araçları: UISS, ICIQ-SF, UDI-6, IIQ-7, PGI-I gibi farklı ölçütlerin kullanımı çalışmalar arası doğrudan karşılaştırmayı güçleştirmektedir</w:t>
      </w:r>
    </w:p>
    <w:p w:rsidR="003F05D3" w:rsidRDefault="00000000">
      <w:pPr>
        <w:pStyle w:val="ListParagraph"/>
        <w:numPr>
          <w:ilvl w:val="0"/>
          <w:numId w:val="2"/>
        </w:numPr>
        <w:spacing w:before="60" w:after="60"/>
      </w:pPr>
      <w:r>
        <w:rPr>
          <w:color w:val="333333"/>
        </w:rPr>
        <w:t>Düşük istatistiksel güç: Salo 2023'te post-hoc istatistiksel güç %17 olarak hesaplanmıştır; teknikler arası farkların saptanması için mevcut örneklemler yetersiz kalabilir</w:t>
      </w:r>
    </w:p>
    <w:p w:rsidR="003F05D3" w:rsidRDefault="00000000">
      <w:pPr>
        <w:pStyle w:val="ListParagraph"/>
        <w:numPr>
          <w:ilvl w:val="0"/>
          <w:numId w:val="2"/>
        </w:numPr>
        <w:spacing w:before="60" w:after="60"/>
      </w:pPr>
      <w:r>
        <w:rPr>
          <w:color w:val="333333"/>
        </w:rPr>
        <w:t>Teknik heterojenite: Erken çalışmalardaki mesh ve teknik özellikleri güncel uygulamalardan farklılık gösterebilir</w:t>
      </w:r>
    </w:p>
    <w:p w:rsidR="003F05D3" w:rsidRDefault="003F05D3">
      <w:pPr>
        <w:spacing w:before="80" w:after="80"/>
      </w:pPr>
    </w:p>
    <w:p w:rsidR="003F05D3" w:rsidRDefault="00000000">
      <w:pPr>
        <w:pStyle w:val="Heading1"/>
        <w:pBdr>
          <w:bottom w:val="single" w:sz="6" w:space="6" w:color="0B7B8B"/>
        </w:pBdr>
      </w:pPr>
      <w:r>
        <w:t>Önerilen Uzun Dönem İzlem Çerçevesi</w:t>
      </w:r>
    </w:p>
    <w:p w:rsidR="003F05D3" w:rsidRDefault="00000000">
      <w:pPr>
        <w:spacing w:before="80" w:after="80" w:line="320" w:lineRule="auto"/>
        <w:jc w:val="both"/>
      </w:pPr>
      <w:r>
        <w:rPr>
          <w:color w:val="333333"/>
        </w:rPr>
        <w:t>Mevcut kanıtlar; MUS cerrahisi sonrası uzun dönem izlemin rutin pratikte standardize edilmediğini ve büyük ölçüde çalışma bağımlı kaldığını göstermektedir. Aşağıdaki çerçeve, sekiz uzun dönem çalışmanın bulgularından türetilmiş ve uyarlanabilir nitelikte bir yol haritası sunmaktadır.</w:t>
      </w:r>
    </w:p>
    <w:p w:rsidR="003F05D3" w:rsidRDefault="003F05D3">
      <w:pPr>
        <w:spacing w:before="80" w:after="80"/>
      </w:pP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480"/>
        <w:gridCol w:w="4080"/>
      </w:tblGrid>
      <w:tr w:rsidR="003F05D3">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B7B8B"/>
            <w:tcMar>
              <w:top w:w="100" w:type="dxa"/>
              <w:left w:w="120" w:type="dxa"/>
              <w:bottom w:w="100" w:type="dxa"/>
              <w:right w:w="120" w:type="dxa"/>
            </w:tcMar>
          </w:tcPr>
          <w:p w:rsidR="003F05D3" w:rsidRDefault="00000000">
            <w:r>
              <w:rPr>
                <w:b/>
                <w:bCs/>
                <w:color w:val="FFFFFF"/>
                <w:sz w:val="20"/>
                <w:szCs w:val="20"/>
              </w:rPr>
              <w:t>Dönem</w:t>
            </w:r>
          </w:p>
        </w:tc>
        <w:tc>
          <w:tcPr>
            <w:tcW w:w="4480" w:type="dxa"/>
            <w:tcBorders>
              <w:top w:val="single" w:sz="1" w:space="0" w:color="CCCCCC"/>
              <w:left w:val="single" w:sz="1" w:space="0" w:color="CCCCCC"/>
              <w:bottom w:val="single" w:sz="1" w:space="0" w:color="CCCCCC"/>
              <w:right w:val="single" w:sz="1" w:space="0" w:color="CCCCCC"/>
            </w:tcBorders>
            <w:shd w:val="clear" w:color="auto" w:fill="0B7B8B"/>
            <w:tcMar>
              <w:top w:w="100" w:type="dxa"/>
              <w:left w:w="120" w:type="dxa"/>
              <w:bottom w:w="100" w:type="dxa"/>
              <w:right w:w="120" w:type="dxa"/>
            </w:tcMar>
          </w:tcPr>
          <w:p w:rsidR="003F05D3" w:rsidRDefault="00000000">
            <w:r>
              <w:rPr>
                <w:b/>
                <w:bCs/>
                <w:color w:val="FFFFFF"/>
                <w:sz w:val="20"/>
                <w:szCs w:val="20"/>
              </w:rPr>
              <w:t>Değerlendirme İçeriği</w:t>
            </w:r>
          </w:p>
        </w:tc>
        <w:tc>
          <w:tcPr>
            <w:tcW w:w="4080" w:type="dxa"/>
            <w:tcBorders>
              <w:top w:val="single" w:sz="1" w:space="0" w:color="CCCCCC"/>
              <w:left w:val="single" w:sz="1" w:space="0" w:color="CCCCCC"/>
              <w:bottom w:val="single" w:sz="1" w:space="0" w:color="CCCCCC"/>
              <w:right w:val="single" w:sz="1" w:space="0" w:color="CCCCCC"/>
            </w:tcBorders>
            <w:shd w:val="clear" w:color="auto" w:fill="0B7B8B"/>
            <w:tcMar>
              <w:top w:w="100" w:type="dxa"/>
              <w:left w:w="120" w:type="dxa"/>
              <w:bottom w:w="100" w:type="dxa"/>
              <w:right w:w="120" w:type="dxa"/>
            </w:tcMar>
          </w:tcPr>
          <w:p w:rsidR="003F05D3" w:rsidRDefault="00000000">
            <w:r>
              <w:rPr>
                <w:b/>
                <w:bCs/>
                <w:color w:val="FFFFFF"/>
                <w:sz w:val="20"/>
                <w:szCs w:val="20"/>
              </w:rPr>
              <w:t>Önerilen Araç</w:t>
            </w:r>
          </w:p>
        </w:tc>
      </w:tr>
      <w:tr w:rsidR="003F05D3">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6F4F6"/>
            <w:tcMar>
              <w:top w:w="80" w:type="dxa"/>
              <w:left w:w="120" w:type="dxa"/>
              <w:bottom w:w="80" w:type="dxa"/>
              <w:right w:w="120" w:type="dxa"/>
            </w:tcMar>
          </w:tcPr>
          <w:p w:rsidR="003F05D3" w:rsidRDefault="00000000">
            <w:r>
              <w:rPr>
                <w:color w:val="333333"/>
                <w:sz w:val="20"/>
                <w:szCs w:val="20"/>
              </w:rPr>
              <w:t>1. Yıl</w:t>
            </w:r>
          </w:p>
        </w:tc>
        <w:tc>
          <w:tcPr>
            <w:tcW w:w="4480" w:type="dxa"/>
            <w:tcBorders>
              <w:top w:val="single" w:sz="1" w:space="0" w:color="CCCCCC"/>
              <w:left w:val="single" w:sz="1" w:space="0" w:color="CCCCCC"/>
              <w:bottom w:val="single" w:sz="1" w:space="0" w:color="CCCCCC"/>
              <w:right w:val="single" w:sz="1" w:space="0" w:color="CCCCCC"/>
            </w:tcBorders>
            <w:shd w:val="clear" w:color="auto" w:fill="E6F4F6"/>
            <w:tcMar>
              <w:top w:w="80" w:type="dxa"/>
              <w:left w:w="120" w:type="dxa"/>
              <w:bottom w:w="80" w:type="dxa"/>
              <w:right w:w="120" w:type="dxa"/>
            </w:tcMar>
          </w:tcPr>
          <w:p w:rsidR="003F05D3" w:rsidRDefault="00000000">
            <w:r>
              <w:rPr>
                <w:color w:val="333333"/>
                <w:sz w:val="20"/>
                <w:szCs w:val="20"/>
              </w:rPr>
              <w:t>Objektif kür, erken komplikasyon, LUTS baseline belgesi</w:t>
            </w:r>
          </w:p>
        </w:tc>
        <w:tc>
          <w:tcPr>
            <w:tcW w:w="4080" w:type="dxa"/>
            <w:tcBorders>
              <w:top w:val="single" w:sz="1" w:space="0" w:color="CCCCCC"/>
              <w:left w:val="single" w:sz="1" w:space="0" w:color="CCCCCC"/>
              <w:bottom w:val="single" w:sz="1" w:space="0" w:color="CCCCCC"/>
              <w:right w:val="single" w:sz="1" w:space="0" w:color="CCCCCC"/>
            </w:tcBorders>
            <w:shd w:val="clear" w:color="auto" w:fill="E6F4F6"/>
            <w:tcMar>
              <w:top w:w="80" w:type="dxa"/>
              <w:left w:w="120" w:type="dxa"/>
              <w:bottom w:w="80" w:type="dxa"/>
              <w:right w:w="120" w:type="dxa"/>
            </w:tcMar>
          </w:tcPr>
          <w:p w:rsidR="003F05D3" w:rsidRDefault="00000000">
            <w:r>
              <w:rPr>
                <w:color w:val="333333"/>
                <w:sz w:val="20"/>
                <w:szCs w:val="20"/>
              </w:rPr>
              <w:t>ICIQ-SF, UDI-6, klinik muayene</w:t>
            </w:r>
          </w:p>
        </w:tc>
      </w:tr>
      <w:tr w:rsidR="003F05D3">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05D3" w:rsidRDefault="00000000">
            <w:r>
              <w:rPr>
                <w:color w:val="333333"/>
                <w:sz w:val="20"/>
                <w:szCs w:val="20"/>
              </w:rPr>
              <w:t>3. Yıl</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05D3" w:rsidRDefault="00000000">
            <w:r>
              <w:rPr>
                <w:color w:val="333333"/>
                <w:sz w:val="20"/>
                <w:szCs w:val="20"/>
              </w:rPr>
              <w:t>Kontinans sürekliliği, de novo urge sorgulaması</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05D3" w:rsidRDefault="00000000">
            <w:r>
              <w:rPr>
                <w:color w:val="333333"/>
                <w:sz w:val="20"/>
                <w:szCs w:val="20"/>
              </w:rPr>
              <w:t>ICIQ-SF, OAB-q, PGI-I</w:t>
            </w:r>
          </w:p>
        </w:tc>
      </w:tr>
      <w:tr w:rsidR="003F05D3">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6F4F6"/>
            <w:tcMar>
              <w:top w:w="80" w:type="dxa"/>
              <w:left w:w="120" w:type="dxa"/>
              <w:bottom w:w="80" w:type="dxa"/>
              <w:right w:w="120" w:type="dxa"/>
            </w:tcMar>
          </w:tcPr>
          <w:p w:rsidR="003F05D3" w:rsidRDefault="00000000">
            <w:r>
              <w:rPr>
                <w:color w:val="333333"/>
                <w:sz w:val="20"/>
                <w:szCs w:val="20"/>
              </w:rPr>
              <w:t>5. Yıl</w:t>
            </w:r>
          </w:p>
        </w:tc>
        <w:tc>
          <w:tcPr>
            <w:tcW w:w="4480" w:type="dxa"/>
            <w:tcBorders>
              <w:top w:val="single" w:sz="1" w:space="0" w:color="CCCCCC"/>
              <w:left w:val="single" w:sz="1" w:space="0" w:color="CCCCCC"/>
              <w:bottom w:val="single" w:sz="1" w:space="0" w:color="CCCCCC"/>
              <w:right w:val="single" w:sz="1" w:space="0" w:color="CCCCCC"/>
            </w:tcBorders>
            <w:shd w:val="clear" w:color="auto" w:fill="E6F4F6"/>
            <w:tcMar>
              <w:top w:w="80" w:type="dxa"/>
              <w:left w:w="120" w:type="dxa"/>
              <w:bottom w:w="80" w:type="dxa"/>
              <w:right w:w="120" w:type="dxa"/>
            </w:tcMar>
          </w:tcPr>
          <w:p w:rsidR="003F05D3" w:rsidRDefault="00000000">
            <w:r>
              <w:rPr>
                <w:color w:val="333333"/>
                <w:sz w:val="20"/>
                <w:szCs w:val="20"/>
              </w:rPr>
              <w:t>Kapsamlı PROM değerlendirmesi, mesh sorgulama, QoL</w:t>
            </w:r>
          </w:p>
        </w:tc>
        <w:tc>
          <w:tcPr>
            <w:tcW w:w="4080" w:type="dxa"/>
            <w:tcBorders>
              <w:top w:val="single" w:sz="1" w:space="0" w:color="CCCCCC"/>
              <w:left w:val="single" w:sz="1" w:space="0" w:color="CCCCCC"/>
              <w:bottom w:val="single" w:sz="1" w:space="0" w:color="CCCCCC"/>
              <w:right w:val="single" w:sz="1" w:space="0" w:color="CCCCCC"/>
            </w:tcBorders>
            <w:shd w:val="clear" w:color="auto" w:fill="E6F4F6"/>
            <w:tcMar>
              <w:top w:w="80" w:type="dxa"/>
              <w:left w:w="120" w:type="dxa"/>
              <w:bottom w:w="80" w:type="dxa"/>
              <w:right w:w="120" w:type="dxa"/>
            </w:tcMar>
          </w:tcPr>
          <w:p w:rsidR="003F05D3" w:rsidRDefault="00000000">
            <w:r>
              <w:rPr>
                <w:color w:val="333333"/>
                <w:sz w:val="20"/>
                <w:szCs w:val="20"/>
              </w:rPr>
              <w:t>ICIQ-SF, IIQ-7, UDI-6, seksüel fonksiyon</w:t>
            </w:r>
          </w:p>
        </w:tc>
      </w:tr>
      <w:tr w:rsidR="003F05D3">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05D3" w:rsidRDefault="00000000">
            <w:r>
              <w:rPr>
                <w:color w:val="333333"/>
                <w:sz w:val="20"/>
                <w:szCs w:val="20"/>
              </w:rPr>
              <w:t>10. Yıl</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05D3" w:rsidRDefault="00000000">
            <w:r>
              <w:rPr>
                <w:color w:val="333333"/>
                <w:sz w:val="20"/>
                <w:szCs w:val="20"/>
              </w:rPr>
              <w:t>LUTS yükü, hasta memnuniyeti, reoperasyon gereksinimi</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05D3" w:rsidRDefault="00000000">
            <w:r>
              <w:rPr>
                <w:color w:val="333333"/>
                <w:sz w:val="20"/>
                <w:szCs w:val="20"/>
              </w:rPr>
              <w:t>PGI-I, PFDI-20 veya ICIQ-FLUTS, pelvik muayene</w:t>
            </w:r>
          </w:p>
        </w:tc>
      </w:tr>
      <w:tr w:rsidR="003F05D3">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6F4F6"/>
            <w:tcMar>
              <w:top w:w="80" w:type="dxa"/>
              <w:left w:w="120" w:type="dxa"/>
              <w:bottom w:w="80" w:type="dxa"/>
              <w:right w:w="120" w:type="dxa"/>
            </w:tcMar>
          </w:tcPr>
          <w:p w:rsidR="003F05D3" w:rsidRDefault="00000000">
            <w:r>
              <w:rPr>
                <w:color w:val="333333"/>
                <w:sz w:val="20"/>
                <w:szCs w:val="20"/>
              </w:rPr>
              <w:t>15+ Yıl</w:t>
            </w:r>
          </w:p>
        </w:tc>
        <w:tc>
          <w:tcPr>
            <w:tcW w:w="4480" w:type="dxa"/>
            <w:tcBorders>
              <w:top w:val="single" w:sz="1" w:space="0" w:color="CCCCCC"/>
              <w:left w:val="single" w:sz="1" w:space="0" w:color="CCCCCC"/>
              <w:bottom w:val="single" w:sz="1" w:space="0" w:color="CCCCCC"/>
              <w:right w:val="single" w:sz="1" w:space="0" w:color="CCCCCC"/>
            </w:tcBorders>
            <w:shd w:val="clear" w:color="auto" w:fill="E6F4F6"/>
            <w:tcMar>
              <w:top w:w="80" w:type="dxa"/>
              <w:left w:w="120" w:type="dxa"/>
              <w:bottom w:w="80" w:type="dxa"/>
              <w:right w:w="120" w:type="dxa"/>
            </w:tcMar>
          </w:tcPr>
          <w:p w:rsidR="003F05D3" w:rsidRDefault="00000000">
            <w:r>
              <w:rPr>
                <w:color w:val="333333"/>
                <w:sz w:val="20"/>
                <w:szCs w:val="20"/>
              </w:rPr>
              <w:t>Mesh durumu, uzun dönem OAB seyri, genel memnuniyet</w:t>
            </w:r>
          </w:p>
        </w:tc>
        <w:tc>
          <w:tcPr>
            <w:tcW w:w="4080" w:type="dxa"/>
            <w:tcBorders>
              <w:top w:val="single" w:sz="1" w:space="0" w:color="CCCCCC"/>
              <w:left w:val="single" w:sz="1" w:space="0" w:color="CCCCCC"/>
              <w:bottom w:val="single" w:sz="1" w:space="0" w:color="CCCCCC"/>
              <w:right w:val="single" w:sz="1" w:space="0" w:color="CCCCCC"/>
            </w:tcBorders>
            <w:shd w:val="clear" w:color="auto" w:fill="E6F4F6"/>
            <w:tcMar>
              <w:top w:w="80" w:type="dxa"/>
              <w:left w:w="120" w:type="dxa"/>
              <w:bottom w:w="80" w:type="dxa"/>
              <w:right w:w="120" w:type="dxa"/>
            </w:tcMar>
          </w:tcPr>
          <w:p w:rsidR="003F05D3" w:rsidRDefault="00000000">
            <w:r>
              <w:rPr>
                <w:color w:val="333333"/>
                <w:sz w:val="20"/>
                <w:szCs w:val="20"/>
              </w:rPr>
              <w:t>Telefon / online anket + kliniğe çağrı protokolü</w:t>
            </w:r>
          </w:p>
        </w:tc>
      </w:tr>
    </w:tbl>
    <w:p w:rsidR="003F05D3" w:rsidRDefault="003F05D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F05D3">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6F4F6"/>
            <w:tcMar>
              <w:top w:w="160" w:type="dxa"/>
              <w:left w:w="200" w:type="dxa"/>
              <w:bottom w:w="160" w:type="dxa"/>
              <w:right w:w="200" w:type="dxa"/>
            </w:tcMar>
          </w:tcPr>
          <w:p w:rsidR="003F05D3" w:rsidRDefault="00000000">
            <w:pPr>
              <w:spacing w:after="80"/>
            </w:pPr>
            <w:r>
              <w:rPr>
                <w:b/>
                <w:bCs/>
                <w:color w:val="0B7B8B"/>
              </w:rPr>
              <w:t>İzlem Protokolünde Temel İlkeler</w:t>
            </w:r>
          </w:p>
          <w:p w:rsidR="003F05D3" w:rsidRDefault="00000000">
            <w:pPr>
              <w:spacing w:before="40" w:after="40"/>
            </w:pPr>
            <w:r>
              <w:rPr>
                <w:color w:val="333333"/>
                <w:sz w:val="20"/>
                <w:szCs w:val="20"/>
              </w:rPr>
              <w:t>• Preoperatif OAB yükü mutlaka belgelenmeli; uzun dönem semptom seyri için referans oluşturulmalıdır</w:t>
            </w:r>
          </w:p>
          <w:p w:rsidR="003F05D3" w:rsidRDefault="00000000">
            <w:pPr>
              <w:spacing w:before="40" w:after="40"/>
            </w:pPr>
            <w:r>
              <w:rPr>
                <w:color w:val="333333"/>
                <w:sz w:val="20"/>
                <w:szCs w:val="20"/>
              </w:rPr>
              <w:t>• İzlem yalnızca inkontinans kontrolüyle sınırlandırılmamalı; LUTS, QoL ve seksüel fonksiyon dahil edilmelidir</w:t>
            </w:r>
          </w:p>
          <w:p w:rsidR="003F05D3" w:rsidRDefault="00000000">
            <w:pPr>
              <w:spacing w:before="40" w:after="40"/>
            </w:pPr>
            <w:r>
              <w:rPr>
                <w:color w:val="333333"/>
                <w:sz w:val="20"/>
                <w:szCs w:val="20"/>
              </w:rPr>
              <w:t>• De novo urge gelişimi açısından hasta preoperatif dönemde bilgilendirilmelidir</w:t>
            </w:r>
          </w:p>
          <w:p w:rsidR="003F05D3" w:rsidRDefault="00000000">
            <w:pPr>
              <w:spacing w:before="40" w:after="40"/>
            </w:pPr>
            <w:r>
              <w:rPr>
                <w:color w:val="333333"/>
                <w:sz w:val="20"/>
                <w:szCs w:val="20"/>
              </w:rPr>
              <w:t>• Beşinci yıl ötesinde aktif takip: telefon/online anket + eşik tabanlı kliniğe çağrı protokolü</w:t>
            </w:r>
          </w:p>
          <w:p w:rsidR="003F05D3" w:rsidRDefault="00000000">
            <w:pPr>
              <w:spacing w:before="40" w:after="40"/>
            </w:pPr>
            <w:r>
              <w:rPr>
                <w:color w:val="333333"/>
                <w:sz w:val="20"/>
                <w:szCs w:val="20"/>
              </w:rPr>
              <w:t>• Mesh komplikasyonları için hasta ömrü boyunca sorgulama sürdürülmelidir</w:t>
            </w:r>
          </w:p>
        </w:tc>
      </w:tr>
    </w:tbl>
    <w:p w:rsidR="003F05D3" w:rsidRDefault="003F05D3">
      <w:pPr>
        <w:spacing w:before="80" w:after="80"/>
      </w:pPr>
    </w:p>
    <w:p w:rsidR="003F05D3" w:rsidRDefault="00000000">
      <w:pPr>
        <w:pStyle w:val="Heading1"/>
        <w:pBdr>
          <w:bottom w:val="single" w:sz="6" w:space="6" w:color="0B7B8B"/>
        </w:pBdr>
      </w:pPr>
      <w:r>
        <w:t>Sonuç</w:t>
      </w:r>
    </w:p>
    <w:p w:rsidR="003F05D3" w:rsidRDefault="00000000">
      <w:pPr>
        <w:spacing w:before="80" w:after="80" w:line="320" w:lineRule="auto"/>
        <w:jc w:val="both"/>
      </w:pPr>
      <w:r>
        <w:rPr>
          <w:color w:val="333333"/>
        </w:rPr>
        <w:t>Midüretral sling cerrahisi, 10–25 yıllık takip sürelerinde yüksek ve sürdürülebilir kontinans oranları sağlayan kanıtlanmış bir tedavi standardıdır. TVT, ultra-uzun dönem verileriyle üstün kür oranlarını ortaya koymuştur. TVT ile TVT-O/TOT arasındaki uzun dönem karşılaştırmalar, çalışma tasarımına bağlı farklılıklar içermekle birlikte genel olarak teknik eşdeğerliliği desteklemektedir.</w:t>
      </w:r>
    </w:p>
    <w:p w:rsidR="003F05D3" w:rsidRDefault="00000000">
      <w:pPr>
        <w:spacing w:before="80" w:after="80" w:line="320" w:lineRule="auto"/>
        <w:jc w:val="both"/>
      </w:pPr>
      <w:r>
        <w:rPr>
          <w:color w:val="333333"/>
        </w:rPr>
        <w:lastRenderedPageBreak/>
        <w:t>Bununla birlikte sekiz uzun dönem çalışmanın verisi, kritik bir klinik mesajı da taşımaktadır: Yüksek kür oranları, hastaların fonksiyonel açıdan iyi durumda olduğunun garantisi değildir. LUTS yükünün artması, de novo urge inkontinans ve sübjektif-objektif ayrışma; uzun dönem başarının çok boyutlu değerlendirilmesini zorunlu kılmaktadır.</w:t>
      </w:r>
    </w:p>
    <w:p w:rsidR="003F05D3" w:rsidRDefault="00000000">
      <w:pPr>
        <w:spacing w:before="80" w:after="80" w:line="320" w:lineRule="auto"/>
        <w:jc w:val="both"/>
      </w:pPr>
      <w:r>
        <w:rPr>
          <w:color w:val="333333"/>
        </w:rPr>
        <w:t>MUS cerrahisi sonrası uzun dönem izlem; yalnızca inkontinans kontrolünü değil, fonksiyonel yaşam kalitesini, OAB seyrini ve hasta memnuniyetini kapsayan bütünleşik ve standardize edilmiş bir yaklaşım gerektirmektedir.</w:t>
      </w:r>
    </w:p>
    <w:p w:rsidR="003F05D3" w:rsidRDefault="003F05D3">
      <w:pPr>
        <w:spacing w:before="80" w:after="80"/>
      </w:pPr>
    </w:p>
    <w:p w:rsidR="003F05D3" w:rsidRDefault="00000000">
      <w:pPr>
        <w:pStyle w:val="Heading1"/>
        <w:pBdr>
          <w:bottom w:val="single" w:sz="6" w:space="6" w:color="0B7B8B"/>
        </w:pBdr>
      </w:pPr>
      <w:r>
        <w:t>Temel Referanslar</w:t>
      </w:r>
    </w:p>
    <w:p w:rsidR="003F05D3" w:rsidRDefault="00000000">
      <w:pPr>
        <w:pStyle w:val="ListParagraph"/>
        <w:numPr>
          <w:ilvl w:val="0"/>
          <w:numId w:val="2"/>
        </w:numPr>
        <w:spacing w:before="60" w:after="60"/>
      </w:pPr>
      <w:r>
        <w:rPr>
          <w:color w:val="333333"/>
        </w:rPr>
        <w:t>Lebar T et al. (2025). Eur J Obstet Gynecol Reprod Biol. DOI: 10.1016/j.ejogrb.2025.114110</w:t>
      </w:r>
    </w:p>
    <w:p w:rsidR="003F05D3" w:rsidRDefault="00000000">
      <w:pPr>
        <w:pStyle w:val="ListParagraph"/>
        <w:numPr>
          <w:ilvl w:val="0"/>
          <w:numId w:val="2"/>
        </w:numPr>
        <w:spacing w:before="60" w:after="60"/>
      </w:pPr>
      <w:r>
        <w:rPr>
          <w:color w:val="333333"/>
        </w:rPr>
        <w:t>Soderini N et al. (2025). Int Urogynecol J. DOI: 10.1007/s00192-024-05972-4</w:t>
      </w:r>
    </w:p>
    <w:p w:rsidR="003F05D3" w:rsidRDefault="00000000">
      <w:pPr>
        <w:pStyle w:val="ListParagraph"/>
        <w:numPr>
          <w:ilvl w:val="0"/>
          <w:numId w:val="2"/>
        </w:numPr>
        <w:spacing w:before="60" w:after="60"/>
      </w:pPr>
      <w:r>
        <w:rPr>
          <w:color w:val="333333"/>
        </w:rPr>
        <w:t>Salo T et al. (2023). Int Urogynecol J. DOI: 10.1007/s00192-023-05527-z</w:t>
      </w:r>
    </w:p>
    <w:p w:rsidR="003F05D3" w:rsidRDefault="00000000">
      <w:pPr>
        <w:pStyle w:val="ListParagraph"/>
        <w:numPr>
          <w:ilvl w:val="0"/>
          <w:numId w:val="2"/>
        </w:numPr>
        <w:spacing w:before="60" w:after="60"/>
      </w:pPr>
      <w:r>
        <w:rPr>
          <w:color w:val="333333"/>
        </w:rPr>
        <w:t>van Oorschot AM et al. (2025). BJOG. DOI: 10.1111/1471-0528.18092</w:t>
      </w:r>
    </w:p>
    <w:p w:rsidR="003F05D3" w:rsidRDefault="00000000">
      <w:pPr>
        <w:pStyle w:val="ListParagraph"/>
        <w:numPr>
          <w:ilvl w:val="0"/>
          <w:numId w:val="2"/>
        </w:numPr>
        <w:spacing w:before="60" w:after="60"/>
      </w:pPr>
      <w:r>
        <w:rPr>
          <w:color w:val="333333"/>
        </w:rPr>
        <w:t>Nian Y et al. (2025). Int Urogynecol J. DOI: 10.1007/s00192-024-05962-6</w:t>
      </w:r>
    </w:p>
    <w:p w:rsidR="003F05D3" w:rsidRDefault="00000000">
      <w:pPr>
        <w:pStyle w:val="ListParagraph"/>
        <w:numPr>
          <w:ilvl w:val="0"/>
          <w:numId w:val="2"/>
        </w:numPr>
        <w:spacing w:before="60" w:after="60"/>
      </w:pPr>
      <w:r>
        <w:rPr>
          <w:color w:val="333333"/>
        </w:rPr>
        <w:t>Offiah I et al. (2021). BJOG. DOI: 10.1111/1471-0528.16899</w:t>
      </w:r>
    </w:p>
    <w:p w:rsidR="003F05D3" w:rsidRDefault="00000000">
      <w:pPr>
        <w:pStyle w:val="ListParagraph"/>
        <w:numPr>
          <w:ilvl w:val="0"/>
          <w:numId w:val="2"/>
        </w:numPr>
        <w:spacing w:before="60" w:after="60"/>
      </w:pPr>
      <w:r>
        <w:rPr>
          <w:color w:val="333333"/>
        </w:rPr>
        <w:t>Serdinšek T et al. (2019). Int Urogynecol J. DOI: 10.1007/s00192-018-3694-3</w:t>
      </w:r>
    </w:p>
    <w:p w:rsidR="003F05D3" w:rsidRDefault="00000000">
      <w:pPr>
        <w:pStyle w:val="ListParagraph"/>
        <w:numPr>
          <w:ilvl w:val="0"/>
          <w:numId w:val="2"/>
        </w:numPr>
        <w:spacing w:before="60" w:after="60"/>
      </w:pPr>
      <w:r>
        <w:rPr>
          <w:color w:val="333333"/>
        </w:rPr>
        <w:t>Nilsson CG et al. (2008). Int Urogynecol J. DOI: 10.1007/s00192-008-0666-z</w:t>
      </w:r>
    </w:p>
    <w:p w:rsidR="003F05D3" w:rsidRDefault="003F05D3">
      <w:pPr>
        <w:spacing w:before="80" w:after="80"/>
      </w:pPr>
    </w:p>
    <w:p w:rsidR="003F05D3" w:rsidRDefault="00000000">
      <w:pPr>
        <w:pBdr>
          <w:top w:val="single" w:sz="4" w:space="8" w:color="0B7B8B"/>
        </w:pBdr>
        <w:spacing w:before="200"/>
        <w:jc w:val="center"/>
      </w:pPr>
      <w:r>
        <w:rPr>
          <w:color w:val="999999"/>
          <w:sz w:val="18"/>
          <w:szCs w:val="18"/>
        </w:rPr>
        <w:t>© 2025 Ege Ürojinekoloji Workshop | egeurojinekoloji.com</w:t>
      </w:r>
    </w:p>
    <w:sectPr w:rsidR="003F05D3">
      <w:headerReference w:type="default" r:id="rId7"/>
      <w:footerReference w:type="default" r:id="rId8"/>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41803" w:rsidRDefault="00F41803">
      <w:r>
        <w:separator/>
      </w:r>
    </w:p>
  </w:endnote>
  <w:endnote w:type="continuationSeparator" w:id="0">
    <w:p w:rsidR="00F41803" w:rsidRDefault="00F418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F05D3" w:rsidRDefault="00000000">
    <w:pPr>
      <w:pBdr>
        <w:top w:val="single" w:sz="4" w:space="4" w:color="CCCCCC"/>
      </w:pBdr>
      <w:tabs>
        <w:tab w:val="right" w:pos="9026"/>
      </w:tabs>
    </w:pPr>
    <w:r>
      <w:rPr>
        <w:color w:val="999999"/>
        <w:sz w:val="18"/>
        <w:szCs w:val="18"/>
      </w:rPr>
      <w:t>MUS Cerrahisinde Uzun Dönem Sonuçlar: 10 Yıl ve Ötesi</w:t>
    </w:r>
    <w:r>
      <w:rPr>
        <w:sz w:val="18"/>
        <w:szCs w:val="18"/>
      </w:rPr>
      <w:tab/>
    </w:r>
    <w:r>
      <w:rPr>
        <w:color w:val="999999"/>
        <w:sz w:val="18"/>
        <w:szCs w:val="18"/>
      </w:rPr>
      <w:fldChar w:fldCharType="begin"/>
    </w:r>
    <w:r>
      <w:rPr>
        <w:color w:val="999999"/>
        <w:sz w:val="18"/>
        <w:szCs w:val="18"/>
      </w:rPr>
      <w:instrText>PAGE</w:instrText>
    </w:r>
    <w:r>
      <w:rPr>
        <w:color w:val="999999"/>
        <w:sz w:val="18"/>
        <w:szCs w:val="18"/>
      </w:rPr>
      <w:fldChar w:fldCharType="separate"/>
    </w:r>
    <w:r w:rsidR="00045C94">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41803" w:rsidRDefault="00F41803">
      <w:r>
        <w:separator/>
      </w:r>
    </w:p>
  </w:footnote>
  <w:footnote w:type="continuationSeparator" w:id="0">
    <w:p w:rsidR="00F41803" w:rsidRDefault="00F418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2506"/>
    </w:tblGrid>
    <w:tr w:rsidR="003F05D3">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rsidR="003F05D3" w:rsidRDefault="00000000">
          <w:r>
            <w:rPr>
              <w:b/>
              <w:bCs/>
              <w:color w:val="0B7B8B"/>
              <w:sz w:val="18"/>
              <w:szCs w:val="18"/>
            </w:rPr>
            <w:t>EGE ÜROJİNEKOLOJİ WORKSHOP</w:t>
          </w:r>
        </w:p>
      </w:tc>
      <w:tc>
        <w:tcPr>
          <w:tcW w:w="250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rsidR="003F05D3" w:rsidRDefault="00000000">
          <w:pPr>
            <w:jc w:val="right"/>
          </w:pPr>
          <w:r>
            <w:rPr>
              <w:color w:val="999999"/>
              <w:sz w:val="18"/>
              <w:szCs w:val="18"/>
            </w:rPr>
            <w:t>WHITE PAPER | 2025</w:t>
          </w:r>
        </w:p>
      </w:tc>
    </w:tr>
  </w:tbl>
  <w:p w:rsidR="003F05D3" w:rsidRDefault="003F05D3">
    <w:pPr>
      <w:pBdr>
        <w:bottom w:val="single" w:sz="4" w:space="4" w:color="0B7B8B"/>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7E1810"/>
    <w:multiLevelType w:val="hybridMultilevel"/>
    <w:tmpl w:val="C3E6C0B4"/>
    <w:lvl w:ilvl="0" w:tplc="3BB266C0">
      <w:start w:val="1"/>
      <w:numFmt w:val="bullet"/>
      <w:lvlText w:val="●"/>
      <w:lvlJc w:val="left"/>
      <w:pPr>
        <w:ind w:left="720" w:hanging="360"/>
      </w:pPr>
    </w:lvl>
    <w:lvl w:ilvl="1" w:tplc="6C3C9658">
      <w:start w:val="1"/>
      <w:numFmt w:val="bullet"/>
      <w:lvlText w:val="○"/>
      <w:lvlJc w:val="left"/>
      <w:pPr>
        <w:ind w:left="1440" w:hanging="360"/>
      </w:pPr>
    </w:lvl>
    <w:lvl w:ilvl="2" w:tplc="5A20107C">
      <w:start w:val="1"/>
      <w:numFmt w:val="bullet"/>
      <w:lvlText w:val="■"/>
      <w:lvlJc w:val="left"/>
      <w:pPr>
        <w:ind w:left="2160" w:hanging="360"/>
      </w:pPr>
    </w:lvl>
    <w:lvl w:ilvl="3" w:tplc="E8B2B116">
      <w:start w:val="1"/>
      <w:numFmt w:val="bullet"/>
      <w:lvlText w:val="●"/>
      <w:lvlJc w:val="left"/>
      <w:pPr>
        <w:ind w:left="2880" w:hanging="360"/>
      </w:pPr>
    </w:lvl>
    <w:lvl w:ilvl="4" w:tplc="2460FC22">
      <w:start w:val="1"/>
      <w:numFmt w:val="bullet"/>
      <w:lvlText w:val="○"/>
      <w:lvlJc w:val="left"/>
      <w:pPr>
        <w:ind w:left="3600" w:hanging="360"/>
      </w:pPr>
    </w:lvl>
    <w:lvl w:ilvl="5" w:tplc="4358EA9C">
      <w:start w:val="1"/>
      <w:numFmt w:val="bullet"/>
      <w:lvlText w:val="■"/>
      <w:lvlJc w:val="left"/>
      <w:pPr>
        <w:ind w:left="4320" w:hanging="360"/>
      </w:pPr>
    </w:lvl>
    <w:lvl w:ilvl="6" w:tplc="157A577E">
      <w:start w:val="1"/>
      <w:numFmt w:val="bullet"/>
      <w:lvlText w:val="●"/>
      <w:lvlJc w:val="left"/>
      <w:pPr>
        <w:ind w:left="5040" w:hanging="360"/>
      </w:pPr>
    </w:lvl>
    <w:lvl w:ilvl="7" w:tplc="D0BC3D06">
      <w:start w:val="1"/>
      <w:numFmt w:val="bullet"/>
      <w:lvlText w:val="●"/>
      <w:lvlJc w:val="left"/>
      <w:pPr>
        <w:ind w:left="5760" w:hanging="360"/>
      </w:pPr>
    </w:lvl>
    <w:lvl w:ilvl="8" w:tplc="5CAEE594">
      <w:start w:val="1"/>
      <w:numFmt w:val="bullet"/>
      <w:lvlText w:val="●"/>
      <w:lvlJc w:val="left"/>
      <w:pPr>
        <w:ind w:left="6480" w:hanging="360"/>
      </w:pPr>
    </w:lvl>
  </w:abstractNum>
  <w:abstractNum w:abstractNumId="1" w15:restartNumberingAfterBreak="0">
    <w:nsid w:val="63FA2E27"/>
    <w:multiLevelType w:val="hybridMultilevel"/>
    <w:tmpl w:val="8196EF9E"/>
    <w:lvl w:ilvl="0" w:tplc="3EBE7714">
      <w:start w:val="1"/>
      <w:numFmt w:val="bullet"/>
      <w:lvlText w:val="•"/>
      <w:lvlJc w:val="left"/>
      <w:pPr>
        <w:ind w:left="720" w:hanging="360"/>
      </w:pPr>
    </w:lvl>
    <w:lvl w:ilvl="1" w:tplc="BCDCC9C6">
      <w:numFmt w:val="decimal"/>
      <w:lvlText w:val=""/>
      <w:lvlJc w:val="left"/>
    </w:lvl>
    <w:lvl w:ilvl="2" w:tplc="44E8C4B2">
      <w:numFmt w:val="decimal"/>
      <w:lvlText w:val=""/>
      <w:lvlJc w:val="left"/>
    </w:lvl>
    <w:lvl w:ilvl="3" w:tplc="5DD07CE6">
      <w:numFmt w:val="decimal"/>
      <w:lvlText w:val=""/>
      <w:lvlJc w:val="left"/>
    </w:lvl>
    <w:lvl w:ilvl="4" w:tplc="EE503734">
      <w:numFmt w:val="decimal"/>
      <w:lvlText w:val=""/>
      <w:lvlJc w:val="left"/>
    </w:lvl>
    <w:lvl w:ilvl="5" w:tplc="4F2A54AE">
      <w:numFmt w:val="decimal"/>
      <w:lvlText w:val=""/>
      <w:lvlJc w:val="left"/>
    </w:lvl>
    <w:lvl w:ilvl="6" w:tplc="EF08B1E4">
      <w:numFmt w:val="decimal"/>
      <w:lvlText w:val=""/>
      <w:lvlJc w:val="left"/>
    </w:lvl>
    <w:lvl w:ilvl="7" w:tplc="EC7616F2">
      <w:numFmt w:val="decimal"/>
      <w:lvlText w:val=""/>
      <w:lvlJc w:val="left"/>
    </w:lvl>
    <w:lvl w:ilvl="8" w:tplc="7F1A7DBC">
      <w:numFmt w:val="decimal"/>
      <w:lvlText w:val=""/>
      <w:lvlJc w:val="left"/>
    </w:lvl>
  </w:abstractNum>
  <w:num w:numId="1" w16cid:durableId="66463251">
    <w:abstractNumId w:val="0"/>
    <w:lvlOverride w:ilvl="0">
      <w:startOverride w:val="1"/>
    </w:lvlOverride>
  </w:num>
  <w:num w:numId="2" w16cid:durableId="9946495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05D3"/>
    <w:rsid w:val="00045C94"/>
    <w:rsid w:val="003F05D3"/>
    <w:rsid w:val="00F41803"/>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5:docId w15:val="{04393C3C-56A8-A640-8A61-D395D5120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B7B8B"/>
      <w:sz w:val="28"/>
      <w:szCs w:val="28"/>
    </w:rPr>
  </w:style>
  <w:style w:type="paragraph" w:styleId="Heading2">
    <w:name w:val="heading 2"/>
    <w:uiPriority w:val="9"/>
    <w:unhideWhenUsed/>
    <w:qFormat/>
    <w:pPr>
      <w:spacing w:before="240" w:after="120"/>
      <w:outlineLvl w:val="1"/>
    </w:pPr>
    <w:rPr>
      <w:b/>
      <w:bCs/>
      <w:color w:val="1A2B3C"/>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1611</Words>
  <Characters>10265</Characters>
  <Application>Microsoft Office Word</Application>
  <DocSecurity>0</DocSecurity>
  <Lines>190</Lines>
  <Paragraphs>70</Paragraphs>
  <ScaleCrop>false</ScaleCrop>
  <Company/>
  <LinksUpToDate>false</LinksUpToDate>
  <CharactersWithSpaces>11806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Ahmet Özgür Yeniel</cp:lastModifiedBy>
  <cp:revision>2</cp:revision>
  <dcterms:created xsi:type="dcterms:W3CDTF">2026-03-31T07:48:00Z</dcterms:created>
  <dcterms:modified xsi:type="dcterms:W3CDTF">2026-03-31T07:48:00Z</dcterms:modified>
</cp:coreProperties>
</file>