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0B7B8B" w:val="clear"/>
            <w:tcMar>
              <w:top w:type="dxa" w:w="400"/>
              <w:left w:type="dxa" w:w="400"/>
              <w:bottom w:type="dxa" w:w="400"/>
              <w:right w:type="dxa" w:w="400"/>
            </w:tcMar>
          </w:tcPr>
          <w:p>
            <w:pPr>
              <w:spacing w:before="0" w:after="120"/>
              <w:jc w:val="center"/>
            </w:pPr>
            <w:r>
              <w:rPr>
                <w:rFonts w:ascii="Arial" w:cs="Arial" w:eastAsia="Arial" w:hAnsi="Arial"/>
                <w:color w:val="FFFFFF"/>
                <w:sz w:val="20"/>
                <w:szCs w:val="20"/>
              </w:rPr>
              <w:t xml:space="preserve">EGE ÜROJİNEKOLOJİ WORKSHOP</w:t>
            </w:r>
          </w:p>
          <w:p>
            <w:pPr>
              <w:spacing w:before="0" w:after="200"/>
              <w:jc w:val="center"/>
            </w:pPr>
            <w:r>
              <w:rPr>
                <w:rFonts w:ascii="Arial" w:cs="Arial" w:eastAsia="Arial" w:hAnsi="Arial"/>
                <w:color w:val="CCEEEE"/>
                <w:sz w:val="20"/>
                <w:szCs w:val="20"/>
              </w:rPr>
              <w:t xml:space="preserve">Klinik Yazı</w:t>
            </w:r>
          </w:p>
          <w:p>
            <w:pPr>
              <w:spacing w:before="0" w:after="160"/>
              <w:jc w:val="center"/>
            </w:pPr>
            <w:r>
              <w:rPr>
                <w:rFonts w:ascii="Arial" w:cs="Arial" w:eastAsia="Arial" w:hAnsi="Arial"/>
                <w:b/>
                <w:bCs/>
                <w:color w:val="FFFFFF"/>
                <w:sz w:val="44"/>
                <w:szCs w:val="44"/>
              </w:rPr>
              <w:t xml:space="preserve">AŞIRI AKTİF MESANE</w:t>
            </w:r>
          </w:p>
          <w:p>
            <w:pPr>
              <w:spacing w:before="0" w:after="0"/>
              <w:jc w:val="center"/>
            </w:pPr>
            <w:r>
              <w:rPr>
                <w:rFonts w:ascii="Arial" w:cs="Arial" w:eastAsia="Arial" w:hAnsi="Arial"/>
                <w:color w:val="DDEEFF"/>
                <w:sz w:val="24"/>
                <w:szCs w:val="24"/>
              </w:rPr>
              <w:t xml:space="preserve">Tanı, Tedavi ve Tedaviye Uyumu Güçlendirme</w:t>
            </w:r>
          </w:p>
        </w:tc>
      </w:tr>
    </w:tbl>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Giriş</w:t>
      </w:r>
    </w:p>
    <w:p>
      <w:pPr>
        <w:spacing w:before="80" w:after="80" w:line="320"/>
        <w:jc w:val="both"/>
      </w:pPr>
      <w:r>
        <w:rPr>
          <w:rFonts w:ascii="Arial" w:cs="Arial" w:eastAsia="Arial" w:hAnsi="Arial"/>
          <w:color w:val="333333"/>
          <w:sz w:val="22"/>
          <w:szCs w:val="22"/>
        </w:rPr>
        <w:t xml:space="preserve">Aşırı aktif mesane (AAM), Uluslararası Kontinans Derneği (ICS) tarafından mesane tümörü, mesane taşı veya üriner sistem enfeksiyonu gibi altta yatan bir patoloji olmaksızın ortaya çıkan; acil işeme isteği, niktüri ve buna eşlik edebilen urge inkontinans ile karakterize bir sendrom olarak tanımlanmaktadır. Sendromun en rahatsız edici semptomu, kontinans sağlanamayabilen ani ve şiddetli sıkışma hissidir.</w:t>
      </w:r>
    </w:p>
    <w:p>
      <w:pPr>
        <w:spacing w:before="80" w:after="80" w:line="320"/>
        <w:jc w:val="both"/>
      </w:pPr>
      <w:r>
        <w:rPr>
          <w:rFonts w:ascii="Arial" w:cs="Arial" w:eastAsia="Arial" w:hAnsi="Arial"/>
          <w:color w:val="333333"/>
          <w:sz w:val="22"/>
          <w:szCs w:val="22"/>
        </w:rPr>
        <w:t xml:space="preserve">AAM, sık rastlanan bir klinik tablo olmasına karşın hastaların büyük bölümü tarafından normalleştirilerek geç tanı almaktadır. Her altı yetişkin kadından birini etkileyen bu sendromun klinikte yeterince sorgulanması, erken tanı ve tedavinin önündeki en önemli engeldir. Bu yazı; AAM'nin epidemiyolojisini, klinik özelliklerini, tanısal yaklaşımını ve güncel tedavi seçeneklerini klinisyen perspektifinden ele almaktadır.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Epidemiyoloji ve Klinik Önem</w:t>
      </w:r>
    </w:p>
    <w:p>
      <w:pPr>
        <w:spacing w:before="80" w:after="80" w:line="320"/>
        <w:jc w:val="both"/>
      </w:pPr>
      <w:r>
        <w:rPr>
          <w:rFonts w:ascii="Arial" w:cs="Arial" w:eastAsia="Arial" w:hAnsi="Arial"/>
          <w:color w:val="333333"/>
          <w:sz w:val="22"/>
          <w:szCs w:val="22"/>
        </w:rPr>
        <w:t xml:space="preserve">AAM, dünya genelinde yüksek prevalansa sahip ancak yetersiz tanınan bir halk sağlığı sorunudur. Her altı yetişkin kadından birini etkileyen bu sendromun prevalansı yaşla birlikte belirgin biçimde artmakta; 65 yaş üzerinde %45'i aşmaktadır. Urge inkontinansın eşlik ettiği olgularda hastalık şiddeti artar ve doktora başvuru sıklaşır.</w:t>
      </w:r>
    </w:p>
    <w:p>
      <w:pPr>
        <w:spacing w:before="80" w:after="80" w:line="320"/>
        <w:jc w:val="both"/>
      </w:pPr>
      <w:r>
        <w:rPr>
          <w:rFonts w:ascii="Arial" w:cs="Arial" w:eastAsia="Arial" w:hAnsi="Arial"/>
          <w:color w:val="333333"/>
          <w:sz w:val="22"/>
          <w:szCs w:val="22"/>
        </w:rPr>
        <w:t xml:space="preserve">Buna karşın, özellikle inkontinansın eşlik ettiği hastalarda tıbbi yardım arayışı çoğu zaman gecikir. Semptomlar yaşlanmanın doğal bir sonucu olarak algılanmakta; utanma ve sosyal damgalanma korkusu başvuruyu engellemektedir. Birçok hasta, tedavi seçeneklerinin varlığından haberdar olduğunda ya da semptomlar günlük aktivitelerini ciddi ölçüde kısıtladığında sağlık kurumuna başvurmaktadır.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Epidemiyolojik Veriler</w:t>
            </w:r>
          </w:p>
          <w:p>
            <w:pPr>
              <w:spacing w:before="40" w:after="40"/>
            </w:pPr>
            <w:r>
              <w:rPr>
                <w:rFonts w:ascii="Arial" w:cs="Arial" w:eastAsia="Arial" w:hAnsi="Arial"/>
                <w:color w:val="333333"/>
                <w:sz w:val="20"/>
                <w:szCs w:val="20"/>
              </w:rPr>
              <w:t xml:space="preserve">• Her 6 yetişkin kadından 1'i AAM'den etkilenmektedir</w:t>
            </w:r>
          </w:p>
          <w:p>
            <w:pPr>
              <w:spacing w:before="40" w:after="40"/>
            </w:pPr>
            <w:r>
              <w:rPr>
                <w:rFonts w:ascii="Arial" w:cs="Arial" w:eastAsia="Arial" w:hAnsi="Arial"/>
                <w:color w:val="333333"/>
                <w:sz w:val="20"/>
                <w:szCs w:val="20"/>
              </w:rPr>
              <w:t xml:space="preserve">• 65 yaş üzerinde prevalans &gt;%45; hastalık daha şiddetli seyreder</w:t>
            </w:r>
          </w:p>
          <w:p>
            <w:pPr>
              <w:spacing w:before="40" w:after="40"/>
            </w:pPr>
            <w:r>
              <w:rPr>
                <w:rFonts w:ascii="Arial" w:cs="Arial" w:eastAsia="Arial" w:hAnsi="Arial"/>
                <w:color w:val="333333"/>
                <w:sz w:val="20"/>
                <w:szCs w:val="20"/>
              </w:rPr>
              <w:t xml:space="preserve">• Urge inkontinans eşliği, başvuru sıklığını ve hastalık yükünü artırır</w:t>
            </w:r>
          </w:p>
          <w:p>
            <w:pPr>
              <w:spacing w:before="40" w:after="40"/>
            </w:pPr>
            <w:r>
              <w:rPr>
                <w:rFonts w:ascii="Arial" w:cs="Arial" w:eastAsia="Arial" w:hAnsi="Arial"/>
                <w:color w:val="333333"/>
                <w:sz w:val="20"/>
                <w:szCs w:val="20"/>
              </w:rPr>
              <w:t xml:space="preserve">• ABD'de yıllık ekonomik yük tahminen 100 milyar dolar</w:t>
            </w:r>
          </w:p>
          <w:p>
            <w:pPr>
              <w:spacing w:before="40" w:after="40"/>
            </w:pPr>
            <w:r>
              <w:rPr>
                <w:rFonts w:ascii="Arial" w:cs="Arial" w:eastAsia="Arial" w:hAnsi="Arial"/>
                <w:color w:val="333333"/>
                <w:sz w:val="20"/>
                <w:szCs w:val="20"/>
              </w:rPr>
              <w:t xml:space="preserve">• Dolaylı maliyetlerin önemli bölümü ped/bez kullanımından oluşmaktadır</w:t>
            </w:r>
          </w:p>
          <w:p>
            <w:pPr>
              <w:spacing w:before="40" w:after="40"/>
            </w:pPr>
            <w:r>
              <w:rPr>
                <w:rFonts w:ascii="Arial" w:cs="Arial" w:eastAsia="Arial" w:hAnsi="Arial"/>
                <w:color w:val="333333"/>
                <w:sz w:val="20"/>
                <w:szCs w:val="20"/>
              </w:rPr>
              <w:t xml:space="preserve">• AAM, özellikle gece tuvalet sıkmalarına bağlı düşme ve kırık riskini artırır</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AAM'nin klinik önemi yalnızca üriner semptomlarla sınırlı değildir. Sosyal izolasyon, uyku bozukluğu, depresyon ve cinsel işlev bozukluğu gibi ikincil etkiler yaşam kalitesini derinlemesine bozmaktadır. Özellikle ileri yaş hastalarda gece sıkışmasına bağlı düşme olguları yaşamı tehdit eden kırıklara yol açabilmektedir.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Sınıflandırma ve Klinik Tablo</w:t>
      </w:r>
    </w:p>
    <w:p>
      <w:pPr>
        <w:spacing w:before="80" w:after="80" w:line="320"/>
        <w:jc w:val="both"/>
      </w:pPr>
      <w:r>
        <w:rPr>
          <w:rFonts w:ascii="Arial" w:cs="Arial" w:eastAsia="Arial" w:hAnsi="Arial"/>
          <w:color w:val="333333"/>
          <w:sz w:val="22"/>
          <w:szCs w:val="22"/>
        </w:rPr>
        <w:t xml:space="preserve">AAM, ICS tanımı çerçevesinde altta yatan bir patoloji olmaksızın ortaya çıkan fonksiyonel bir sendromdur. Klinik tabloya urge inkontinansın eşlik edip etmemesine göre iki alt tip ayrımı yapılmaktadır.</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153"/>
        <w:gridCol w:w="3953"/>
      </w:tblGrid>
      <w:tr>
        <w:tc>
          <w:tcPr>
            <w:tcW w:type="dxa" w:w="2400"/>
            <w:tcBorders>
              <w:top w:val="single" w:color="CCCCCC" w:sz="1"/>
              <w:left w:val="single" w:color="CCCCCC" w:sz="1"/>
              <w:bottom w:val="single" w:color="CCCCCC" w:sz="1"/>
              <w:right w:val="single" w:color="CCCCCC" w:sz="1"/>
            </w:tcBorders>
            <w:shd w:fill="0B7B8B" w:val="clear"/>
            <w:tcMar>
              <w:top w:type="dxa" w:w="100"/>
              <w:left w:type="dxa" w:w="150"/>
              <w:bottom w:type="dxa" w:w="100"/>
              <w:right w:type="dxa" w:w="150"/>
            </w:tcMar>
          </w:tcPr>
          <w:p>
            <w:r>
              <w:rPr>
                <w:rFonts w:ascii="Arial" w:cs="Arial" w:eastAsia="Arial" w:hAnsi="Arial"/>
                <w:b/>
                <w:bCs/>
                <w:color w:val="FFFFFF"/>
                <w:sz w:val="21"/>
                <w:szCs w:val="21"/>
              </w:rPr>
              <w:t xml:space="preserve">Alt Tip</w:t>
            </w:r>
          </w:p>
        </w:tc>
        <w:tc>
          <w:tcPr>
            <w:tcW w:type="dxa" w:w="3153"/>
            <w:tcBorders>
              <w:top w:val="single" w:color="CCCCCC" w:sz="1"/>
              <w:left w:val="single" w:color="CCCCCC" w:sz="1"/>
              <w:bottom w:val="single" w:color="CCCCCC" w:sz="1"/>
              <w:right w:val="single" w:color="CCCCCC" w:sz="1"/>
            </w:tcBorders>
            <w:shd w:fill="0B7B8B" w:val="clear"/>
            <w:tcMar>
              <w:top w:type="dxa" w:w="100"/>
              <w:left w:type="dxa" w:w="150"/>
              <w:bottom w:type="dxa" w:w="100"/>
              <w:right w:type="dxa" w:w="150"/>
            </w:tcMar>
          </w:tcPr>
          <w:p>
            <w:r>
              <w:rPr>
                <w:rFonts w:ascii="Arial" w:cs="Arial" w:eastAsia="Arial" w:hAnsi="Arial"/>
                <w:b/>
                <w:bCs/>
                <w:color w:val="FFFFFF"/>
                <w:sz w:val="21"/>
                <w:szCs w:val="21"/>
              </w:rPr>
              <w:t xml:space="preserve">Klinik Özellik</w:t>
            </w:r>
          </w:p>
        </w:tc>
        <w:tc>
          <w:tcPr>
            <w:tcW w:type="dxa" w:w="3953"/>
            <w:tcBorders>
              <w:top w:val="single" w:color="CCCCCC" w:sz="1"/>
              <w:left w:val="single" w:color="CCCCCC" w:sz="1"/>
              <w:bottom w:val="single" w:color="CCCCCC" w:sz="1"/>
              <w:right w:val="single" w:color="CCCCCC" w:sz="1"/>
            </w:tcBorders>
            <w:shd w:fill="0B7B8B" w:val="clear"/>
            <w:tcMar>
              <w:top w:type="dxa" w:w="100"/>
              <w:left w:type="dxa" w:w="150"/>
              <w:bottom w:type="dxa" w:w="100"/>
              <w:right w:type="dxa" w:w="150"/>
            </w:tcMar>
          </w:tcPr>
          <w:p>
            <w:r>
              <w:rPr>
                <w:rFonts w:ascii="Arial" w:cs="Arial" w:eastAsia="Arial" w:hAnsi="Arial"/>
                <w:b/>
                <w:bCs/>
                <w:color w:val="FFFFFF"/>
                <w:sz w:val="21"/>
                <w:szCs w:val="21"/>
              </w:rPr>
              <w:t xml:space="preserve">Klinik Önemi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AAM-kuru (dry OAB)</w:t>
            </w:r>
          </w:p>
        </w:tc>
        <w:tc>
          <w:tcPr>
            <w:tcW w:type="dxa" w:w="315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Acil sıkışma hissi; inkontinans yok</w:t>
            </w:r>
          </w:p>
        </w:tc>
        <w:tc>
          <w:tcPr>
            <w:tcW w:type="dxa" w:w="395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Daha az rahatsız edici; tanı gecikmesi riski yüksek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AAM-ıslak (wet OAB)</w:t>
            </w:r>
          </w:p>
        </w:tc>
        <w:tc>
          <w:tcPr>
            <w:tcW w:type="dxa" w:w="315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Acil sıkışma + urge inkontinans</w:t>
            </w:r>
          </w:p>
        </w:tc>
        <w:tc>
          <w:tcPr>
            <w:tcW w:type="dxa" w:w="395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Daha şiddetli klinik tablo; yaşam kalitesi belirgin bozulur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Niktüri eşliği</w:t>
            </w:r>
          </w:p>
        </w:tc>
        <w:tc>
          <w:tcPr>
            <w:tcW w:type="dxa" w:w="315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Gece ≥2 kez uyanma</w:t>
            </w:r>
          </w:p>
        </w:tc>
        <w:tc>
          <w:tcPr>
            <w:tcW w:type="dxa" w:w="3953"/>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Düşme riski; uyku bozukluğu; mortalite ile ilişkili</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Ayırıcı tanıda; mesane tümörü, üriner sistem enfeksiyonu, mesane taşı, nörojenik mesane, pelvik organ prolapsusu ve interstisyel sistit mutlaka ekarte edilmelidir. Anamnez, fizik muayene ve temel laboratuvar incelemeleri bu ayrımı sağlamada yeterlidir; ileri tetkik seçili olgulara ayrılmalıdır.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Tanısal Değerlendirme</w:t>
      </w:r>
    </w:p>
    <w:p>
      <w:pPr>
        <w:spacing w:before="80" w:after="80" w:line="320"/>
        <w:jc w:val="both"/>
      </w:pPr>
      <w:r>
        <w:rPr>
          <w:rFonts w:ascii="Arial" w:cs="Arial" w:eastAsia="Arial" w:hAnsi="Arial"/>
          <w:color w:val="333333"/>
          <w:sz w:val="22"/>
          <w:szCs w:val="22"/>
        </w:rPr>
        <w:t xml:space="preserve">AAM tanısı klinik bir tanıdır. Temel değerlendirme; kapsamlı anamnez, fizik muayene ve birkaç basit testten oluşmaktadır. Tanısal sürecin doğru yürütülmesi, yalnızca doğru tanıyı koymakla kalmaz; hastanın uzun dönem tedaviye uyumunu belirleyen ilk ve en kritik klinik temas noktasını oluşturur.</w:t>
      </w:r>
    </w:p>
    <w:p>
      <w:pPr>
        <w:spacing w:before="80" w:after="80"/>
      </w:pPr>
      <w:r>
        <w:t xml:space="preserve"/>
      </w:r>
    </w:p>
    <w:p>
      <w:pPr>
        <w:pStyle w:val="Heading2"/>
        <w:spacing w:before="240" w:after="120"/>
      </w:pPr>
      <w:r>
        <w:rPr>
          <w:rFonts w:ascii="Arial" w:cs="Arial" w:eastAsia="Arial" w:hAnsi="Arial"/>
          <w:b/>
          <w:bCs/>
          <w:color w:val="1A2B3C"/>
          <w:sz w:val="24"/>
          <w:szCs w:val="24"/>
        </w:rPr>
        <w:t xml:space="preserve">Anamnez ve Semptom Değerlendirmesi</w:t>
      </w:r>
    </w:p>
    <w:p>
      <w:pPr>
        <w:spacing w:before="80" w:after="80" w:line="320"/>
        <w:jc w:val="both"/>
      </w:pPr>
      <w:r>
        <w:rPr>
          <w:rFonts w:ascii="Arial" w:cs="Arial" w:eastAsia="Arial" w:hAnsi="Arial"/>
          <w:color w:val="333333"/>
          <w:sz w:val="22"/>
          <w:szCs w:val="22"/>
        </w:rPr>
        <w:t xml:space="preserve">Semptomun tipi, süresi, şiddeti, tetikleyici faktörler ve yaşam kalitesine etkisi sistematik biçimde sorgulanmalıdır. Sıvı alım alışkanlıkları, kafein ve alkol tüketimi, ilaç listesi (diüretikler, antikolinerjikler, alfa blokerler), obstetrik geçmiş ve eşlik eden hastalıklar (diyabet, hipertansiyon, nörolojik hastalık) anamnezin vazgeçilmez bileşenlerini oluşturur.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Tanıda Kullanılan Doğrulanmış Ölçüm Araçları</w:t>
            </w:r>
          </w:p>
          <w:p>
            <w:pPr>
              <w:spacing w:before="40" w:after="40"/>
            </w:pPr>
            <w:r>
              <w:rPr>
                <w:rFonts w:ascii="Arial" w:cs="Arial" w:eastAsia="Arial" w:hAnsi="Arial"/>
                <w:color w:val="333333"/>
                <w:sz w:val="20"/>
                <w:szCs w:val="20"/>
              </w:rPr>
              <w:t xml:space="preserve">• OAB-q (Overactive Bladder Questionnaire) — semptom şiddeti ve yaşam kalitesi</w:t>
            </w:r>
          </w:p>
          <w:p>
            <w:pPr>
              <w:spacing w:before="40" w:after="40"/>
            </w:pPr>
            <w:r>
              <w:rPr>
                <w:rFonts w:ascii="Arial" w:cs="Arial" w:eastAsia="Arial" w:hAnsi="Arial"/>
                <w:color w:val="333333"/>
                <w:sz w:val="20"/>
                <w:szCs w:val="20"/>
              </w:rPr>
              <w:t xml:space="preserve">• ICIQ-OAB — kısa form; klinik pratikte kullanışlı</w:t>
            </w:r>
          </w:p>
          <w:p>
            <w:pPr>
              <w:spacing w:before="40" w:after="40"/>
            </w:pPr>
            <w:r>
              <w:rPr>
                <w:rFonts w:ascii="Arial" w:cs="Arial" w:eastAsia="Arial" w:hAnsi="Arial"/>
                <w:color w:val="333333"/>
                <w:sz w:val="20"/>
                <w:szCs w:val="20"/>
              </w:rPr>
              <w:t xml:space="preserve">• UDI-6 (Urogenital Distress Inventory) — semptom yükü ve distres</w:t>
            </w:r>
          </w:p>
          <w:p>
            <w:pPr>
              <w:spacing w:before="40" w:after="40"/>
            </w:pPr>
            <w:r>
              <w:rPr>
                <w:rFonts w:ascii="Arial" w:cs="Arial" w:eastAsia="Arial" w:hAnsi="Arial"/>
                <w:color w:val="333333"/>
                <w:sz w:val="20"/>
                <w:szCs w:val="20"/>
              </w:rPr>
              <w:t xml:space="preserve">• 3 günlük işeme günlüğü — sıklık, volüm, urge epizodları ve kaçırma sayısının objektif kaydı</w:t>
            </w:r>
          </w:p>
          <w:p>
            <w:pPr>
              <w:spacing w:before="40" w:after="40"/>
            </w:pPr>
            <w:r>
              <w:rPr>
                <w:rFonts w:ascii="Arial" w:cs="Arial" w:eastAsia="Arial" w:hAnsi="Arial"/>
                <w:color w:val="333333"/>
                <w:sz w:val="20"/>
                <w:szCs w:val="20"/>
              </w:rPr>
              <w:t xml:space="preserve">• Ped testi (1 veya 24 saatlik) — inkontinans şiddetinin objektif ölçümü</w:t>
            </w:r>
          </w:p>
        </w:tc>
      </w:tr>
    </w:tbl>
    <w:p>
      <w:pPr>
        <w:spacing w:before="80" w:after="80"/>
      </w:pPr>
      <w:r>
        <w:t xml:space="preserve"/>
      </w:r>
    </w:p>
    <w:p>
      <w:pPr>
        <w:pStyle w:val="Heading2"/>
        <w:spacing w:before="240" w:after="120"/>
      </w:pPr>
      <w:r>
        <w:rPr>
          <w:rFonts w:ascii="Arial" w:cs="Arial" w:eastAsia="Arial" w:hAnsi="Arial"/>
          <w:b/>
          <w:bCs/>
          <w:color w:val="1A2B3C"/>
          <w:sz w:val="24"/>
          <w:szCs w:val="24"/>
        </w:rPr>
        <w:t xml:space="preserve">Fizik Muayene ve Temel Tetkikler</w:t>
      </w:r>
    </w:p>
    <w:p>
      <w:pPr>
        <w:spacing w:before="80" w:after="80" w:line="320"/>
        <w:jc w:val="both"/>
      </w:pPr>
      <w:r>
        <w:rPr>
          <w:rFonts w:ascii="Arial" w:cs="Arial" w:eastAsia="Arial" w:hAnsi="Arial"/>
          <w:color w:val="333333"/>
          <w:sz w:val="22"/>
          <w:szCs w:val="22"/>
        </w:rPr>
        <w:t xml:space="preserve">Pelvik muayene; eşlik eden pelvik organ prolapsusu, pelvik taban kas gücü (Oxford skalası) ve üretral hipermobilitenin değerlendirilmesi açısından zorunludur. Nörolojik değerlendirme, özellikle ileri yaş ve nörojenik şüpheli olgularda ihmal edilmemelidir.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Temel Tanısal Araçlar</w:t>
            </w:r>
          </w:p>
          <w:p>
            <w:pPr>
              <w:spacing w:before="40" w:after="40"/>
            </w:pPr>
            <w:r>
              <w:rPr>
                <w:rFonts w:ascii="Arial" w:cs="Arial" w:eastAsia="Arial" w:hAnsi="Arial"/>
                <w:color w:val="333333"/>
                <w:sz w:val="20"/>
                <w:szCs w:val="20"/>
              </w:rPr>
              <w:t xml:space="preserve">• İdrar analizi ve kültürü — enfeksiyon ve hematurinin ekartasyonu</w:t>
            </w:r>
          </w:p>
          <w:p>
            <w:pPr>
              <w:spacing w:before="40" w:after="40"/>
            </w:pPr>
            <w:r>
              <w:rPr>
                <w:rFonts w:ascii="Arial" w:cs="Arial" w:eastAsia="Arial" w:hAnsi="Arial"/>
                <w:color w:val="333333"/>
                <w:sz w:val="20"/>
                <w:szCs w:val="20"/>
              </w:rPr>
              <w:t xml:space="preserve">• Post-void rezidüel ölçümü (ultrasonografi) — yetersiz boşaltım ve overflowun dışlanması</w:t>
            </w:r>
          </w:p>
          <w:p>
            <w:pPr>
              <w:spacing w:before="40" w:after="40"/>
            </w:pPr>
            <w:r>
              <w:rPr>
                <w:rFonts w:ascii="Arial" w:cs="Arial" w:eastAsia="Arial" w:hAnsi="Arial"/>
                <w:color w:val="333333"/>
                <w:sz w:val="20"/>
                <w:szCs w:val="20"/>
              </w:rPr>
              <w:t xml:space="preserve">• Pelvik muayene — prolapsus, pelvik taban kas değerlendirmesi</w:t>
            </w:r>
          </w:p>
          <w:p>
            <w:pPr>
              <w:spacing w:before="40" w:after="40"/>
            </w:pPr>
            <w:r>
              <w:rPr>
                <w:rFonts w:ascii="Arial" w:cs="Arial" w:eastAsia="Arial" w:hAnsi="Arial"/>
                <w:color w:val="333333"/>
                <w:sz w:val="20"/>
                <w:szCs w:val="20"/>
              </w:rPr>
              <w:t xml:space="preserve">• 3 günlük işeme günlüğü — tedavi kararı ve takip için referans</w:t>
            </w:r>
          </w:p>
          <w:p>
            <w:pPr>
              <w:spacing w:before="40" w:after="40"/>
            </w:pPr>
            <w:r>
              <w:rPr>
                <w:rFonts w:ascii="Arial" w:cs="Arial" w:eastAsia="Arial" w:hAnsi="Arial"/>
                <w:color w:val="333333"/>
                <w:sz w:val="20"/>
                <w:szCs w:val="20"/>
              </w:rPr>
              <w:t xml:space="preserve">• Ürodinami — konservatif tedaviye dirençli, nörojenik şüpheli veya cerrahi planlanan olgularda</w:t>
            </w:r>
          </w:p>
        </w:tc>
      </w:tr>
    </w:tbl>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Tedavi Yaklaşımları</w:t>
      </w:r>
    </w:p>
    <w:p>
      <w:pPr>
        <w:spacing w:before="80" w:after="80" w:line="320"/>
        <w:jc w:val="both"/>
      </w:pPr>
      <w:r>
        <w:rPr>
          <w:rFonts w:ascii="Arial" w:cs="Arial" w:eastAsia="Arial" w:hAnsi="Arial"/>
          <w:color w:val="333333"/>
          <w:sz w:val="22"/>
          <w:szCs w:val="22"/>
        </w:rPr>
        <w:t xml:space="preserve">AAM tedavisi basamaklı bir yaklaşımı izlemektedir: davranışsal ve konservatif yöntemler her zaman birinci basamak seçenek olarak uygulanmalı, farmakolojik ve ileri tedaviler buna göre konumlandırılmalıdır. Tedavi kararında yaş, komorbidite, polifarmasi ve hastanın uyum kapasitesi birlikte değerlendirilmelidir.</w:t>
      </w:r>
    </w:p>
    <w:p>
      <w:pPr>
        <w:spacing w:before="80" w:after="80"/>
      </w:pPr>
      <w:r>
        <w:t xml:space="preserve"/>
      </w:r>
    </w:p>
    <w:p>
      <w:pPr>
        <w:pStyle w:val="Heading2"/>
        <w:spacing w:before="240" w:after="120"/>
      </w:pPr>
      <w:r>
        <w:rPr>
          <w:rFonts w:ascii="Arial" w:cs="Arial" w:eastAsia="Arial" w:hAnsi="Arial"/>
          <w:b/>
          <w:bCs/>
          <w:color w:val="1A2B3C"/>
          <w:sz w:val="24"/>
          <w:szCs w:val="24"/>
        </w:rPr>
        <w:t xml:space="preserve">Birinci Basamak: Davranışsal Tedavi</w:t>
      </w:r>
    </w:p>
    <w:p>
      <w:pPr>
        <w:spacing w:before="80" w:after="80" w:line="320"/>
        <w:jc w:val="both"/>
      </w:pPr>
      <w:r>
        <w:rPr>
          <w:rFonts w:ascii="Arial" w:cs="Arial" w:eastAsia="Arial" w:hAnsi="Arial"/>
          <w:color w:val="333333"/>
          <w:sz w:val="22"/>
          <w:szCs w:val="22"/>
        </w:rPr>
        <w:t xml:space="preserve">Davranışsal müdahaleler, tüm uluslararası kılavuzlarda AAM tedavisinin ilk basamağı olarak önerilmektedir. Ancak yalnızca hastaların yaklaşık %20'si davranışsal tedaviden yeterli yarar sağlamaktadır. Bu sınırlılık göz önünde bulundurulduğunda, bireyselleştirilmiş yaklaşım ve güçlü hasta motivasyonu kritik önem taşımaktadır.</w:t>
      </w:r>
    </w:p>
    <w:p>
      <w:pPr>
        <w:spacing w:before="80" w:after="80"/>
      </w:pPr>
      <w:r>
        <w:t xml:space="preserve"/>
      </w:r>
    </w:p>
    <w:p>
      <w:pPr>
        <w:pStyle w:val="ListParagraph"/>
        <w:numPr>
          <w:ilvl w:val="0"/>
          <w:numId w:val="2"/>
        </w:numPr>
        <w:spacing w:before="60" w:after="60"/>
      </w:pPr>
      <w:r>
        <w:rPr>
          <w:rFonts w:ascii="Arial" w:cs="Arial" w:eastAsia="Arial" w:hAnsi="Arial"/>
          <w:color w:val="333333"/>
          <w:sz w:val="22"/>
          <w:szCs w:val="22"/>
        </w:rPr>
        <w:t xml:space="preserve">Mesane eğitimi: İşeme günlüğü eşliğinde zamanlı işeme ve aralık uzatma protokolü; 6–12 haftalık yapılandırılmış program</w:t>
      </w:r>
    </w:p>
    <w:p>
      <w:pPr>
        <w:pStyle w:val="ListParagraph"/>
        <w:numPr>
          <w:ilvl w:val="0"/>
          <w:numId w:val="2"/>
        </w:numPr>
        <w:spacing w:before="60" w:after="60"/>
      </w:pPr>
      <w:r>
        <w:rPr>
          <w:rFonts w:ascii="Arial" w:cs="Arial" w:eastAsia="Arial" w:hAnsi="Arial"/>
          <w:color w:val="333333"/>
          <w:sz w:val="22"/>
          <w:szCs w:val="22"/>
        </w:rPr>
        <w:t xml:space="preserve">Pelvik taban kas egzersizleri (PFMT): Urge supresyon tekniği ile birleştirildiğinde etkinlik artar; uzman fizyoterapist desteği önerilir</w:t>
      </w:r>
    </w:p>
    <w:p>
      <w:pPr>
        <w:pStyle w:val="ListParagraph"/>
        <w:numPr>
          <w:ilvl w:val="0"/>
          <w:numId w:val="2"/>
        </w:numPr>
        <w:spacing w:before="60" w:after="60"/>
      </w:pPr>
      <w:r>
        <w:rPr>
          <w:rFonts w:ascii="Arial" w:cs="Arial" w:eastAsia="Arial" w:hAnsi="Arial"/>
          <w:color w:val="333333"/>
          <w:sz w:val="22"/>
          <w:szCs w:val="22"/>
        </w:rPr>
        <w:t xml:space="preserve">Yaşam tarzı düzenlemeleri: Kafein ve alkol kısıtlaması, kilo kontrolü, kabızlık yönetimi, akşam sıvı alımının sınırlandırılması</w:t>
      </w:r>
    </w:p>
    <w:p>
      <w:pPr>
        <w:pStyle w:val="ListParagraph"/>
        <w:numPr>
          <w:ilvl w:val="0"/>
          <w:numId w:val="2"/>
        </w:numPr>
        <w:spacing w:before="60" w:after="60"/>
      </w:pPr>
      <w:r>
        <w:rPr>
          <w:rFonts w:ascii="Arial" w:cs="Arial" w:eastAsia="Arial" w:hAnsi="Arial"/>
          <w:color w:val="333333"/>
          <w:sz w:val="22"/>
          <w:szCs w:val="22"/>
        </w:rPr>
        <w:t xml:space="preserve">Komorbiditlerin yönetimi: Diyabet, hipertansiyon ve nörolojik hastalıkların etkin tedavisi semptom kontrolüne katkı sağlar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Klinik Not: Davranışsal Tedavinin Sınırlılıkları</w:t>
            </w:r>
          </w:p>
          <w:p>
            <w:pPr>
              <w:spacing w:before="40" w:after="40"/>
            </w:pPr>
            <w:r>
              <w:rPr>
                <w:rFonts w:ascii="Arial" w:cs="Arial" w:eastAsia="Arial" w:hAnsi="Arial"/>
                <w:color w:val="333333"/>
                <w:sz w:val="20"/>
                <w:szCs w:val="20"/>
              </w:rPr>
              <w:t xml:space="preserve">• Yalnızca ~%20 hasta davranışsal tedaviden yeterli yarar sağlamaktadır</w:t>
            </w:r>
          </w:p>
          <w:p>
            <w:pPr>
              <w:spacing w:before="40" w:after="40"/>
            </w:pPr>
            <w:r>
              <w:rPr>
                <w:rFonts w:ascii="Arial" w:cs="Arial" w:eastAsia="Arial" w:hAnsi="Arial"/>
                <w:color w:val="333333"/>
                <w:sz w:val="20"/>
                <w:szCs w:val="20"/>
              </w:rPr>
              <w:t xml:space="preserve">• Pelvik taban eğitimi veren uzman sayısı ve merkez sayısı ülkemizde oldukça kısıtlıdır</w:t>
            </w:r>
          </w:p>
          <w:p>
            <w:pPr>
              <w:spacing w:before="40" w:after="40"/>
            </w:pPr>
            <w:r>
              <w:rPr>
                <w:rFonts w:ascii="Arial" w:cs="Arial" w:eastAsia="Arial" w:hAnsi="Arial"/>
                <w:color w:val="333333"/>
                <w:sz w:val="20"/>
                <w:szCs w:val="20"/>
              </w:rPr>
              <w:t xml:space="preserve">• Pelvik taban egzersizleri ülkemizde sigorta kapsamı dışındadır</w:t>
            </w:r>
          </w:p>
          <w:p>
            <w:pPr>
              <w:spacing w:before="40" w:after="40"/>
            </w:pPr>
            <w:r>
              <w:rPr>
                <w:rFonts w:ascii="Arial" w:cs="Arial" w:eastAsia="Arial" w:hAnsi="Arial"/>
                <w:color w:val="333333"/>
                <w:sz w:val="20"/>
                <w:szCs w:val="20"/>
              </w:rPr>
              <w:t xml:space="preserve">• İleri yaş hastalarda uygulama protokolleri yeterince bireyselleştirilmemiştir</w:t>
            </w:r>
          </w:p>
          <w:p>
            <w:pPr>
              <w:spacing w:before="40" w:after="40"/>
            </w:pPr>
            <w:r>
              <w:rPr>
                <w:rFonts w:ascii="Arial" w:cs="Arial" w:eastAsia="Arial" w:hAnsi="Arial"/>
                <w:color w:val="333333"/>
                <w:sz w:val="20"/>
                <w:szCs w:val="20"/>
              </w:rPr>
              <w:t xml:space="preserve">• Hasta motivasyonu ve uyumu birinci basamak başarısının belirleyicisidir</w:t>
            </w:r>
          </w:p>
        </w:tc>
      </w:tr>
    </w:tbl>
    <w:p>
      <w:pPr>
        <w:spacing w:before="80" w:after="80"/>
      </w:pPr>
      <w:r>
        <w:t xml:space="preserve"/>
      </w:r>
    </w:p>
    <w:p>
      <w:pPr>
        <w:pStyle w:val="Heading2"/>
        <w:spacing w:before="240" w:after="120"/>
      </w:pPr>
      <w:r>
        <w:rPr>
          <w:rFonts w:ascii="Arial" w:cs="Arial" w:eastAsia="Arial" w:hAnsi="Arial"/>
          <w:b/>
          <w:bCs/>
          <w:color w:val="1A2B3C"/>
          <w:sz w:val="24"/>
          <w:szCs w:val="24"/>
        </w:rPr>
        <w:t xml:space="preserve">İkinci Basamak: Farmakolojik Tedavi</w:t>
      </w:r>
    </w:p>
    <w:p>
      <w:pPr>
        <w:spacing w:before="80" w:after="80" w:line="320"/>
        <w:jc w:val="both"/>
      </w:pPr>
      <w:r>
        <w:rPr>
          <w:rFonts w:ascii="Arial" w:cs="Arial" w:eastAsia="Arial" w:hAnsi="Arial"/>
          <w:color w:val="333333"/>
          <w:sz w:val="22"/>
          <w:szCs w:val="22"/>
        </w:rPr>
        <w:t xml:space="preserve">Farmakolojik tedavi, davranışsal müdahalelere yeterli yanıt alınamayan veya semptom şiddetinin yüksek olduğu olgularda uygulanır. İki ana ilaç grubu mevcuttur: antikolinerjikler (antimuskarinikler) ve beta-3 agonistler.</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53"/>
        <w:gridCol w:w="2753"/>
      </w:tblGrid>
      <w:tr>
        <w:tc>
          <w:tcPr>
            <w:tcW w:type="dxa" w:w="2000"/>
            <w:tcBorders>
              <w:top w:val="single" w:color="CCCCCC" w:sz="1"/>
              <w:left w:val="single" w:color="CCCCCC" w:sz="1"/>
              <w:bottom w:val="single" w:color="CCCCCC" w:sz="1"/>
              <w:right w:val="single" w:color="CCCCCC" w:sz="1"/>
            </w:tcBorders>
            <w:shd w:fill="0B7B8B" w:val="clear"/>
            <w:tcMar>
              <w:top w:type="dxa" w:w="100"/>
              <w:left w:type="dxa" w:w="130"/>
              <w:bottom w:type="dxa" w:w="100"/>
              <w:right w:type="dxa" w:w="130"/>
            </w:tcMar>
          </w:tcPr>
          <w:p>
            <w:r>
              <w:rPr>
                <w:rFonts w:ascii="Arial" w:cs="Arial" w:eastAsia="Arial" w:hAnsi="Arial"/>
                <w:b/>
                <w:bCs/>
                <w:color w:val="FFFFFF"/>
                <w:sz w:val="20"/>
                <w:szCs w:val="20"/>
              </w:rPr>
              <w:t xml:space="preserve">İlaç Grubu</w:t>
            </w:r>
          </w:p>
        </w:tc>
        <w:tc>
          <w:tcPr>
            <w:tcW w:type="dxa" w:w="2200"/>
            <w:tcBorders>
              <w:top w:val="single" w:color="CCCCCC" w:sz="1"/>
              <w:left w:val="single" w:color="CCCCCC" w:sz="1"/>
              <w:bottom w:val="single" w:color="CCCCCC" w:sz="1"/>
              <w:right w:val="single" w:color="CCCCCC" w:sz="1"/>
            </w:tcBorders>
            <w:shd w:fill="0B7B8B" w:val="clear"/>
            <w:tcMar>
              <w:top w:type="dxa" w:w="100"/>
              <w:left w:type="dxa" w:w="130"/>
              <w:bottom w:type="dxa" w:w="100"/>
              <w:right w:type="dxa" w:w="130"/>
            </w:tcMar>
          </w:tcPr>
          <w:p>
            <w:r>
              <w:rPr>
                <w:rFonts w:ascii="Arial" w:cs="Arial" w:eastAsia="Arial" w:hAnsi="Arial"/>
                <w:b/>
                <w:bCs/>
                <w:color w:val="FFFFFF"/>
                <w:sz w:val="20"/>
                <w:szCs w:val="20"/>
              </w:rPr>
              <w:t xml:space="preserve">Örnek Ajanlar</w:t>
            </w:r>
          </w:p>
        </w:tc>
        <w:tc>
          <w:tcPr>
            <w:tcW w:type="dxa" w:w="2553"/>
            <w:tcBorders>
              <w:top w:val="single" w:color="CCCCCC" w:sz="1"/>
              <w:left w:val="single" w:color="CCCCCC" w:sz="1"/>
              <w:bottom w:val="single" w:color="CCCCCC" w:sz="1"/>
              <w:right w:val="single" w:color="CCCCCC" w:sz="1"/>
            </w:tcBorders>
            <w:shd w:fill="0B7B8B" w:val="clear"/>
            <w:tcMar>
              <w:top w:type="dxa" w:w="100"/>
              <w:left w:type="dxa" w:w="130"/>
              <w:bottom w:type="dxa" w:w="100"/>
              <w:right w:type="dxa" w:w="130"/>
            </w:tcMar>
          </w:tcPr>
          <w:p>
            <w:r>
              <w:rPr>
                <w:rFonts w:ascii="Arial" w:cs="Arial" w:eastAsia="Arial" w:hAnsi="Arial"/>
                <w:b/>
                <w:bCs/>
                <w:color w:val="FFFFFF"/>
                <w:sz w:val="20"/>
                <w:szCs w:val="20"/>
              </w:rPr>
              <w:t xml:space="preserve">Avantajlar</w:t>
            </w:r>
          </w:p>
        </w:tc>
        <w:tc>
          <w:tcPr>
            <w:tcW w:type="dxa" w:w="2753"/>
            <w:tcBorders>
              <w:top w:val="single" w:color="CCCCCC" w:sz="1"/>
              <w:left w:val="single" w:color="CCCCCC" w:sz="1"/>
              <w:bottom w:val="single" w:color="CCCCCC" w:sz="1"/>
              <w:right w:val="single" w:color="CCCCCC" w:sz="1"/>
            </w:tcBorders>
            <w:shd w:fill="0B7B8B" w:val="clear"/>
            <w:tcMar>
              <w:top w:type="dxa" w:w="100"/>
              <w:left w:type="dxa" w:w="130"/>
              <w:bottom w:type="dxa" w:w="100"/>
              <w:right w:type="dxa" w:w="130"/>
            </w:tcMar>
          </w:tcPr>
          <w:p>
            <w:r>
              <w:rPr>
                <w:rFonts w:ascii="Arial" w:cs="Arial" w:eastAsia="Arial" w:hAnsi="Arial"/>
                <w:b/>
                <w:bCs/>
                <w:color w:val="FFFFFF"/>
                <w:sz w:val="20"/>
                <w:szCs w:val="20"/>
              </w:rPr>
              <w:t xml:space="preserve">Dikkat Edilecekler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333333"/>
                <w:sz w:val="19"/>
                <w:szCs w:val="19"/>
              </w:rPr>
              <w:t xml:space="preserve">Antikolinerjikler
(Antimuskarinikler)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333333"/>
                <w:sz w:val="19"/>
                <w:szCs w:val="19"/>
              </w:rPr>
              <w:t xml:space="preserve">Oksibutinin, tolterodin, solifenasin, fesoterodin, darifenasin</w:t>
            </w:r>
          </w:p>
        </w:tc>
        <w:tc>
          <w:tcPr>
            <w:tcW w:type="dxa" w:w="2553"/>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333333"/>
                <w:sz w:val="19"/>
                <w:szCs w:val="19"/>
              </w:rPr>
              <w:t xml:space="preserve">Geniş kanıt tabanı; çok sayıda çalışma</w:t>
            </w:r>
          </w:p>
        </w:tc>
        <w:tc>
          <w:tcPr>
            <w:tcW w:type="dxa" w:w="2753"/>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333333"/>
                <w:sz w:val="19"/>
                <w:szCs w:val="19"/>
              </w:rPr>
              <w:t xml:space="preserve">Ağız kuruluğu, konstipasyon; bilişsel yan etkiler; ileri yaşta dikkat; kan-beyin bariyeri geçişi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19"/>
                <w:szCs w:val="19"/>
              </w:rPr>
              <w:t xml:space="preserve">Beta-3 Agonistler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19"/>
                <w:szCs w:val="19"/>
              </w:rPr>
              <w:t xml:space="preserve">Mirabegron, vibegron</w:t>
            </w:r>
          </w:p>
        </w:tc>
        <w:tc>
          <w:tcPr>
            <w:tcW w:type="dxa" w:w="255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19"/>
                <w:szCs w:val="19"/>
              </w:rPr>
              <w:t xml:space="preserve">Antikolinerjik yan etki yok; bilişsel etki minimal</w:t>
            </w:r>
          </w:p>
        </w:tc>
        <w:tc>
          <w:tcPr>
            <w:tcW w:type="dxa" w:w="275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33333"/>
                <w:sz w:val="19"/>
                <w:szCs w:val="19"/>
              </w:rPr>
              <w:t xml:space="preserve">Hipertansif hastalarda dikkat; antimuskariniklere kıyasla daha az uzun dönem veri</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Farmakolojik tedavide en kritik sorun tedaviye uyumdur. Antikolinerjik kullanan hastaların yaklaşık %90'ı 3. yılda ilacı bırakmaktadır; beta-3 agonistlerde de ilaçtan yarar görmesine karşın bırakma oranı %50'ye ulaşmaktadır. Tedavi başlangıcında olası yan etkiler, beklentiler ve uzun dönem süreç konusunda hasta ile kapsamlı bilgilendirme yapılması uyum sorununun hafifletilmesine katkı sağlar.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Antikolinerjik Kullanımında Bilişsel Risk: Klinik Uyarı</w:t>
            </w:r>
          </w:p>
          <w:p>
            <w:pPr>
              <w:spacing w:before="40" w:after="40"/>
            </w:pPr>
            <w:r>
              <w:rPr>
                <w:rFonts w:ascii="Arial" w:cs="Arial" w:eastAsia="Arial" w:hAnsi="Arial"/>
                <w:color w:val="333333"/>
                <w:sz w:val="20"/>
                <w:szCs w:val="20"/>
              </w:rPr>
              <w:t xml:space="preserve">• Antikolinerjik ilaçlar ile demans gelişimi arasındaki ilişki kanıtlanmıştır</w:t>
            </w:r>
          </w:p>
          <w:p>
            <w:pPr>
              <w:spacing w:before="40" w:after="40"/>
            </w:pPr>
            <w:r>
              <w:rPr>
                <w:rFonts w:ascii="Arial" w:cs="Arial" w:eastAsia="Arial" w:hAnsi="Arial"/>
                <w:color w:val="333333"/>
                <w:sz w:val="20"/>
                <w:szCs w:val="20"/>
              </w:rPr>
              <w:t xml:space="preserve">• İleri yaş hastalarda kan-beyin bariyerini daha az geçen ajanlar (darifenasin, solifenasin) tercih edilmelidir</w:t>
            </w:r>
          </w:p>
          <w:p>
            <w:pPr>
              <w:spacing w:before="40" w:after="40"/>
            </w:pPr>
            <w:r>
              <w:rPr>
                <w:rFonts w:ascii="Arial" w:cs="Arial" w:eastAsia="Arial" w:hAnsi="Arial"/>
                <w:color w:val="333333"/>
                <w:sz w:val="20"/>
                <w:szCs w:val="20"/>
              </w:rPr>
              <w:t xml:space="preserve">• Polifarmasi: Diyabet, hipertansiyon için kullanılan ilaçların kümülatif antikolinerjik yükü değerlendirilmelidir</w:t>
            </w:r>
          </w:p>
          <w:p>
            <w:pPr>
              <w:spacing w:before="40" w:after="40"/>
            </w:pPr>
            <w:r>
              <w:rPr>
                <w:rFonts w:ascii="Arial" w:cs="Arial" w:eastAsia="Arial" w:hAnsi="Arial"/>
                <w:color w:val="333333"/>
                <w:sz w:val="20"/>
                <w:szCs w:val="20"/>
              </w:rPr>
              <w:t xml:space="preserve">• Transdermal oksibutinin sistemik yan etkileri azaltabilir; özellikle tolerans sorunu olan hastalarda alternatif</w:t>
            </w:r>
          </w:p>
          <w:p>
            <w:pPr>
              <w:spacing w:before="40" w:after="40"/>
            </w:pPr>
            <w:r>
              <w:rPr>
                <w:rFonts w:ascii="Arial" w:cs="Arial" w:eastAsia="Arial" w:hAnsi="Arial"/>
                <w:color w:val="333333"/>
                <w:sz w:val="20"/>
                <w:szCs w:val="20"/>
              </w:rPr>
              <w:t xml:space="preserve">• Beta-3 agonistler ileri yaş hastalarda bilişsel güvenlik profili nedeniyle ön planda değerlendirilmelidir</w:t>
            </w:r>
          </w:p>
        </w:tc>
      </w:tr>
    </w:tbl>
    <w:p>
      <w:pPr>
        <w:spacing w:before="80" w:after="80"/>
      </w:pPr>
      <w:r>
        <w:t xml:space="preserve"/>
      </w:r>
    </w:p>
    <w:p>
      <w:pPr>
        <w:pStyle w:val="Heading2"/>
        <w:spacing w:before="240" w:after="120"/>
      </w:pPr>
      <w:r>
        <w:rPr>
          <w:rFonts w:ascii="Arial" w:cs="Arial" w:eastAsia="Arial" w:hAnsi="Arial"/>
          <w:b/>
          <w:bCs/>
          <w:color w:val="1A2B3C"/>
          <w:sz w:val="24"/>
          <w:szCs w:val="24"/>
        </w:rPr>
        <w:t xml:space="preserve">Üçüncü Basamak: İleri Tedaviler</w:t>
      </w:r>
    </w:p>
    <w:p>
      <w:pPr>
        <w:spacing w:before="80" w:after="80" w:line="320"/>
        <w:jc w:val="both"/>
      </w:pPr>
      <w:r>
        <w:rPr>
          <w:rFonts w:ascii="Arial" w:cs="Arial" w:eastAsia="Arial" w:hAnsi="Arial"/>
          <w:color w:val="333333"/>
          <w:sz w:val="22"/>
          <w:szCs w:val="22"/>
        </w:rPr>
        <w:t xml:space="preserve">Birinci ve ikinci basamak tedavilere yanıt vermeyen ya da devam edemeyen hastaların yaklaşık %50'si üçüncü basamak tedavilere aday olmaktadır. Şiddetli semptomlar, tedaviye zayıf yanıt ve düşük uyum bu gruba geçişin başlıca belirleyicileridir. Üçüncü basamak tedaviler maliyetli, zaman zaman invaziv ve pratik güçlükler barındıran seçeneklerdir; bu nedenle birinci ve ikinci basamakta uyumun güçlendirilmesi klinik öncelik taşımaktadır.</w:t>
      </w:r>
    </w:p>
    <w:p>
      <w:pPr>
        <w:spacing w:before="80" w:after="80"/>
      </w:pPr>
      <w:r>
        <w:t xml:space="preserve"/>
      </w:r>
    </w:p>
    <w:p>
      <w:pPr>
        <w:pStyle w:val="ListParagraph"/>
        <w:numPr>
          <w:ilvl w:val="0"/>
          <w:numId w:val="2"/>
        </w:numPr>
        <w:spacing w:before="60" w:after="60"/>
      </w:pPr>
      <w:r>
        <w:rPr>
          <w:rFonts w:ascii="Arial" w:cs="Arial" w:eastAsia="Arial" w:hAnsi="Arial"/>
          <w:color w:val="333333"/>
          <w:sz w:val="22"/>
          <w:szCs w:val="22"/>
        </w:rPr>
        <w:t xml:space="preserve">Posterior tibial nöromodülasyon (PTNS): Minimal invaziv; 12 haftalık seans protokolü; ofis ortamında uygulanabilir; etkinlik kanıtlanmış</w:t>
      </w:r>
    </w:p>
    <w:p>
      <w:pPr>
        <w:pStyle w:val="ListParagraph"/>
        <w:numPr>
          <w:ilvl w:val="0"/>
          <w:numId w:val="2"/>
        </w:numPr>
        <w:spacing w:before="60" w:after="60"/>
      </w:pPr>
      <w:r>
        <w:rPr>
          <w:rFonts w:ascii="Arial" w:cs="Arial" w:eastAsia="Arial" w:hAnsi="Arial"/>
          <w:color w:val="333333"/>
          <w:sz w:val="22"/>
          <w:szCs w:val="22"/>
        </w:rPr>
        <w:t xml:space="preserve">Sakral nöromodülasyon (SNM): İmplante edilebilir; refrakter AAM'de güçlü kanıt düzeyi; iki aşamalı uygulama</w:t>
      </w:r>
    </w:p>
    <w:p>
      <w:pPr>
        <w:pStyle w:val="ListParagraph"/>
        <w:numPr>
          <w:ilvl w:val="0"/>
          <w:numId w:val="2"/>
        </w:numPr>
        <w:spacing w:before="60" w:after="60"/>
      </w:pPr>
      <w:r>
        <w:rPr>
          <w:rFonts w:ascii="Arial" w:cs="Arial" w:eastAsia="Arial" w:hAnsi="Arial"/>
          <w:color w:val="333333"/>
          <w:sz w:val="22"/>
          <w:szCs w:val="22"/>
        </w:rPr>
        <w:t xml:space="preserve">İntradetrusor botulinum toksin A: Sistoskopi eşliğinde; 100–200 Ü; 6–9 ay etkinlik; inkontinans ve üriner retansiyon riski bilgilendirmesi gerekir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Tedaviye Uyumun Güçlendirilmesi</w:t>
      </w:r>
    </w:p>
    <w:p>
      <w:pPr>
        <w:spacing w:before="80" w:after="80" w:line="320"/>
        <w:jc w:val="both"/>
      </w:pPr>
      <w:r>
        <w:rPr>
          <w:rFonts w:ascii="Arial" w:cs="Arial" w:eastAsia="Arial" w:hAnsi="Arial"/>
          <w:color w:val="333333"/>
          <w:sz w:val="22"/>
          <w:szCs w:val="22"/>
        </w:rPr>
        <w:t xml:space="preserve">AAM, kronik bir hastalık olarak uzun dönem yönetim gerektirmektedir. Kronik hastalıklar arasında ilaç bırakma oranlarının en yüksek olduğu hastalığın AAM olduğu bilinmektedir. Tedaviye uyumsuzluk; hem gereksiz tedavi maliyetlerine hem de semptomlara bağlı yaşam kalitesi kaybına yol açmaktadır.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Tedaviye Uyumu Artırmada Klinik Stratejiler</w:t>
            </w:r>
          </w:p>
          <w:p>
            <w:pPr>
              <w:spacing w:before="40" w:after="40"/>
            </w:pPr>
            <w:r>
              <w:rPr>
                <w:rFonts w:ascii="Arial" w:cs="Arial" w:eastAsia="Arial" w:hAnsi="Arial"/>
                <w:color w:val="333333"/>
                <w:sz w:val="20"/>
                <w:szCs w:val="20"/>
              </w:rPr>
              <w:t xml:space="preserve">• İlk vizitte net ve kapsamlı bilgilendirme: Hastalığın kronik seyri, tedavi basamakları ve beklentiler</w:t>
            </w:r>
          </w:p>
          <w:p>
            <w:pPr>
              <w:spacing w:before="40" w:after="40"/>
            </w:pPr>
            <w:r>
              <w:rPr>
                <w:rFonts w:ascii="Arial" w:cs="Arial" w:eastAsia="Arial" w:hAnsi="Arial"/>
                <w:color w:val="333333"/>
                <w:sz w:val="20"/>
                <w:szCs w:val="20"/>
              </w:rPr>
              <w:t xml:space="preserve">• Gerçekçi hedef belirleme: Semptom yokluğu yerine semptom kontrolü; kısmi iyileşmeyi ilerleme olarak tanımlama</w:t>
            </w:r>
          </w:p>
          <w:p>
            <w:pPr>
              <w:spacing w:before="40" w:after="40"/>
            </w:pPr>
            <w:r>
              <w:rPr>
                <w:rFonts w:ascii="Arial" w:cs="Arial" w:eastAsia="Arial" w:hAnsi="Arial"/>
                <w:color w:val="333333"/>
                <w:sz w:val="20"/>
                <w:szCs w:val="20"/>
              </w:rPr>
              <w:t xml:space="preserve">• Yan etki yönetimi: Antikolinerjik yan etkiler önceden açıklanmalı; alternatif ajan veya uygulama yolu sunulmalı</w:t>
            </w:r>
          </w:p>
          <w:p>
            <w:pPr>
              <w:spacing w:before="40" w:after="40"/>
            </w:pPr>
            <w:r>
              <w:rPr>
                <w:rFonts w:ascii="Arial" w:cs="Arial" w:eastAsia="Arial" w:hAnsi="Arial"/>
                <w:color w:val="333333"/>
                <w:sz w:val="20"/>
                <w:szCs w:val="20"/>
              </w:rPr>
              <w:t xml:space="preserve">• Polifarmasi değerlendirmesi: Kümülatif antikolinerjik yük hesaplanmalı; ilaç etkileşimleri gözden geçirilmeli</w:t>
            </w:r>
          </w:p>
          <w:p>
            <w:pPr>
              <w:spacing w:before="40" w:after="40"/>
            </w:pPr>
            <w:r>
              <w:rPr>
                <w:rFonts w:ascii="Arial" w:cs="Arial" w:eastAsia="Arial" w:hAnsi="Arial"/>
                <w:color w:val="333333"/>
                <w:sz w:val="20"/>
                <w:szCs w:val="20"/>
              </w:rPr>
              <w:t xml:space="preserve">• İleri yaş hastaya özel yaklaşım: Basit protokoller, düşük doz başlangıç, yakın takip</w:t>
            </w:r>
          </w:p>
          <w:p>
            <w:pPr>
              <w:spacing w:before="40" w:after="40"/>
            </w:pPr>
            <w:r>
              <w:rPr>
                <w:rFonts w:ascii="Arial" w:cs="Arial" w:eastAsia="Arial" w:hAnsi="Arial"/>
                <w:color w:val="333333"/>
                <w:sz w:val="20"/>
                <w:szCs w:val="20"/>
              </w:rPr>
              <w:t xml:space="preserve">• Psikolojik destek: Depresyon ve sosyal izolasyon semptom yönetimini olumsuz etkiler; gerektiğinde yönlendirme</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Her hastaya aynı yaklaşımın uygulanmasından vazgeçilmesi gerekmektedir. Bireyselleştirilmiş tedavi planları; yaş, komorbidite, semptom profili ve hasta tercihleri doğrultusunda şekillendirilmelidir. Semptom şiddetini ölçen doğrulanmış araçların (OAB-q, işeme günlüğü) takip vizitlerinde sistematik biçimde kullanılması, hem ilerlemenin nesnel olarak değerlendirilmesini hem de hasta motivasyonunun sürdürülmesini sağlar.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Ege Ürojinekoloji Workshop: Program Felsefesi</w:t>
      </w:r>
    </w:p>
    <w:p>
      <w:pPr>
        <w:spacing w:before="80" w:after="80" w:line="320"/>
        <w:jc w:val="both"/>
      </w:pPr>
      <w:r>
        <w:rPr>
          <w:rFonts w:ascii="Arial" w:cs="Arial" w:eastAsia="Arial" w:hAnsi="Arial"/>
          <w:color w:val="333333"/>
          <w:sz w:val="22"/>
          <w:szCs w:val="22"/>
        </w:rPr>
        <w:t xml:space="preserve">Ege Ürojinekoloji Workshop, ürojinekoloji alanında klinik yetkinliği artırmaya yönelik, kanıt temelli ve uygulamalı eğitimi ön plana çıkaran bir sürekli tıp eğitimi platformudur. İki günlük yoğun format; teorik bilgi aktarımını, realistik maket uygulamalarını ve hands-on istasyonları bir arada sunmaktadır.</w:t>
      </w:r>
    </w:p>
    <w:p>
      <w:pPr>
        <w:spacing w:before="80" w:after="80" w:line="320"/>
        <w:jc w:val="both"/>
      </w:pPr>
      <w:r>
        <w:rPr>
          <w:rFonts w:ascii="Arial" w:cs="Arial" w:eastAsia="Arial" w:hAnsi="Arial"/>
          <w:color w:val="333333"/>
          <w:sz w:val="22"/>
          <w:szCs w:val="22"/>
        </w:rPr>
        <w:t xml:space="preserve">Workshop'un temel felsefesi şudur: Ürojinekolojide klinik başarı, anatomiyi iyi bilmek ile doğru hastaya doğru tedaviyi doğru teknikle uygulamak arasındaki köprüyü kurmaktan geçer. Bu köprünün kurulabilmesi için teorik bilginin simülasyon ve kadavra uygulamalarıyla pekiştirilmesi şarttır.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Workshop'un Temel Öğrenme Hedefleri</w:t>
            </w:r>
          </w:p>
          <w:p>
            <w:pPr>
              <w:spacing w:before="40" w:after="40"/>
            </w:pPr>
            <w:r>
              <w:rPr>
                <w:rFonts w:ascii="Arial" w:cs="Arial" w:eastAsia="Arial" w:hAnsi="Arial"/>
                <w:color w:val="333333"/>
                <w:sz w:val="20"/>
                <w:szCs w:val="20"/>
              </w:rPr>
              <w:t xml:space="preserve">• AAM'nin tanısal algoritmalarını ve doğrulanmış ölçüm araçlarını klinik pratikte uygulamak</w:t>
            </w:r>
          </w:p>
          <w:p>
            <w:pPr>
              <w:spacing w:before="40" w:after="40"/>
            </w:pPr>
            <w:r>
              <w:rPr>
                <w:rFonts w:ascii="Arial" w:cs="Arial" w:eastAsia="Arial" w:hAnsi="Arial"/>
                <w:color w:val="333333"/>
                <w:sz w:val="20"/>
                <w:szCs w:val="20"/>
              </w:rPr>
              <w:t xml:space="preserve">• Farmakolojik tedavi seçeneklerini hasta profili ve komorbiditelerle eşleştirerek bireyselleştirmek</w:t>
            </w:r>
          </w:p>
          <w:p>
            <w:pPr>
              <w:spacing w:before="40" w:after="40"/>
            </w:pPr>
            <w:r>
              <w:rPr>
                <w:rFonts w:ascii="Arial" w:cs="Arial" w:eastAsia="Arial" w:hAnsi="Arial"/>
                <w:color w:val="333333"/>
                <w:sz w:val="20"/>
                <w:szCs w:val="20"/>
              </w:rPr>
              <w:t xml:space="preserve">• İleri yaş hastalarda polifarmasi yönetimi ve antikolinerjik yük değerlendirmesini yapmak</w:t>
            </w:r>
          </w:p>
          <w:p>
            <w:pPr>
              <w:spacing w:before="40" w:after="40"/>
            </w:pPr>
            <w:r>
              <w:rPr>
                <w:rFonts w:ascii="Arial" w:cs="Arial" w:eastAsia="Arial" w:hAnsi="Arial"/>
                <w:color w:val="333333"/>
                <w:sz w:val="20"/>
                <w:szCs w:val="20"/>
              </w:rPr>
              <w:t xml:space="preserve">• PTNS'in transkütan ve perkütan uygulama tekniklerini karşılaştırmalı olarak değerlendirmek ve uygulamayı deneyimlemek</w:t>
            </w:r>
          </w:p>
          <w:p>
            <w:pPr>
              <w:spacing w:before="40" w:after="40"/>
            </w:pPr>
            <w:r>
              <w:rPr>
                <w:rFonts w:ascii="Arial" w:cs="Arial" w:eastAsia="Arial" w:hAnsi="Arial"/>
                <w:color w:val="333333"/>
                <w:sz w:val="20"/>
                <w:szCs w:val="20"/>
              </w:rPr>
              <w:t xml:space="preserve">• Tedaviye uyumu güçlendirmeye yönelik hasta iletişim stratejilerini geliştirmek</w:t>
            </w:r>
          </w:p>
          <w:p>
            <w:pPr>
              <w:spacing w:before="40" w:after="40"/>
            </w:pPr>
            <w:r>
              <w:rPr>
                <w:rFonts w:ascii="Arial" w:cs="Arial" w:eastAsia="Arial" w:hAnsi="Arial"/>
                <w:color w:val="333333"/>
                <w:sz w:val="20"/>
                <w:szCs w:val="20"/>
              </w:rPr>
              <w:t xml:space="preserve">• Üçüncü basamak tedavi seçeneklerini (SNM, botoks) endikasyon ve teknik açıdan değerlendirmek</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Her workshop döngüsü; o dönem için belirlenen odak konu ve prosedür çerçevesinde içerik açısından güncellenmektedir. Katılımcılar; uzman cerrahlar, interaktif vaka tartışmaları ve uygulamalı istasyonlar aracılığıyla klinik problem çözme becerilerini geliştirme fırsatı bulmaktadır.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Temel Referanslar</w:t>
      </w:r>
    </w:p>
    <w:p>
      <w:pPr>
        <w:pStyle w:val="ListParagraph"/>
        <w:numPr>
          <w:ilvl w:val="0"/>
          <w:numId w:val="2"/>
        </w:numPr>
        <w:spacing w:before="60" w:after="60"/>
      </w:pPr>
      <w:r>
        <w:rPr>
          <w:rFonts w:ascii="Arial" w:cs="Arial" w:eastAsia="Arial" w:hAnsi="Arial"/>
          <w:color w:val="333333"/>
          <w:sz w:val="22"/>
          <w:szCs w:val="22"/>
        </w:rPr>
        <w:t xml:space="preserve">ICS (International Continence Society) — Overactive Bladder Terminology and Standardisation Report</w:t>
      </w:r>
    </w:p>
    <w:p>
      <w:pPr>
        <w:pStyle w:val="ListParagraph"/>
        <w:numPr>
          <w:ilvl w:val="0"/>
          <w:numId w:val="2"/>
        </w:numPr>
        <w:spacing w:before="60" w:after="60"/>
      </w:pPr>
      <w:r>
        <w:rPr>
          <w:rFonts w:ascii="Arial" w:cs="Arial" w:eastAsia="Arial" w:hAnsi="Arial"/>
          <w:color w:val="333333"/>
          <w:sz w:val="22"/>
          <w:szCs w:val="22"/>
        </w:rPr>
        <w:t xml:space="preserve">EAU Guidelines on Urinary Incontinence — Güncel Baskı</w:t>
      </w:r>
    </w:p>
    <w:p>
      <w:pPr>
        <w:pStyle w:val="ListParagraph"/>
        <w:numPr>
          <w:ilvl w:val="0"/>
          <w:numId w:val="2"/>
        </w:numPr>
        <w:spacing w:before="60" w:after="60"/>
      </w:pPr>
      <w:r>
        <w:rPr>
          <w:rFonts w:ascii="Arial" w:cs="Arial" w:eastAsia="Arial" w:hAnsi="Arial"/>
          <w:color w:val="333333"/>
          <w:sz w:val="22"/>
          <w:szCs w:val="22"/>
        </w:rPr>
        <w:t xml:space="preserve">NICE Guideline NG123 — Urinary Incontinence and Pelvic Organ Prolapse in Women</w:t>
      </w:r>
    </w:p>
    <w:p>
      <w:pPr>
        <w:pStyle w:val="ListParagraph"/>
        <w:numPr>
          <w:ilvl w:val="0"/>
          <w:numId w:val="2"/>
        </w:numPr>
        <w:spacing w:before="60" w:after="60"/>
      </w:pPr>
      <w:r>
        <w:rPr>
          <w:rFonts w:ascii="Arial" w:cs="Arial" w:eastAsia="Arial" w:hAnsi="Arial"/>
          <w:color w:val="333333"/>
          <w:sz w:val="22"/>
          <w:szCs w:val="22"/>
        </w:rPr>
        <w:t xml:space="preserve">Chapple CR et al. Overactive bladder therapy: pharmacological, surgical and other treatments. Eur Urol. 2023</w:t>
      </w:r>
    </w:p>
    <w:p>
      <w:pPr>
        <w:pStyle w:val="ListParagraph"/>
        <w:numPr>
          <w:ilvl w:val="0"/>
          <w:numId w:val="2"/>
        </w:numPr>
        <w:spacing w:before="60" w:after="60"/>
      </w:pPr>
      <w:r>
        <w:rPr>
          <w:rFonts w:ascii="Arial" w:cs="Arial" w:eastAsia="Arial" w:hAnsi="Arial"/>
          <w:color w:val="333333"/>
          <w:sz w:val="22"/>
          <w:szCs w:val="22"/>
        </w:rPr>
        <w:t xml:space="preserve">Dmochowski R et al. Adrenergic beta-3 receptor agonists for OAB: systematic review. Neurourol Urodyn. 2022</w:t>
      </w:r>
    </w:p>
    <w:p>
      <w:pPr>
        <w:pStyle w:val="ListParagraph"/>
        <w:numPr>
          <w:ilvl w:val="0"/>
          <w:numId w:val="2"/>
        </w:numPr>
        <w:spacing w:before="60" w:after="60"/>
      </w:pPr>
      <w:r>
        <w:rPr>
          <w:rFonts w:ascii="Arial" w:cs="Arial" w:eastAsia="Arial" w:hAnsi="Arial"/>
          <w:color w:val="333333"/>
          <w:sz w:val="22"/>
          <w:szCs w:val="22"/>
        </w:rPr>
        <w:t xml:space="preserve">Turkstat / Türk Üroloji Derneği — Aşırı Aktif Mesane Ulusal Kılavuzu</w:t>
      </w:r>
    </w:p>
    <w:p>
      <w:pPr>
        <w:spacing w:before="80" w:after="80"/>
      </w:pPr>
      <w:r>
        <w:t xml:space="preserve"/>
      </w:r>
    </w:p>
    <w:p>
      <w:pPr>
        <w:pBdr>
          <w:top w:val="single" w:color="0B7B8B" w:sz="4" w:space="8"/>
        </w:pBdr>
        <w:spacing w:before="200" w:after="0"/>
        <w:jc w:val="center"/>
      </w:pPr>
      <w:r>
        <w:rPr>
          <w:rFonts w:ascii="Arial" w:cs="Arial" w:eastAsia="Arial" w:hAnsi="Arial"/>
          <w:color w:val="999999"/>
          <w:sz w:val="18"/>
          <w:szCs w:val="18"/>
        </w:rPr>
        <w:t xml:space="preserve">© 2025 Ege Ürojinekoloji Workshop | egeurojinekoloji.com</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8"/>
        <w:szCs w:val="18"/>
      </w:rPr>
      <w:t xml:space="preserve">Aşırı Aktif Mesane: Tanı, Tedavi ve Tedaviye Uyumu Güçlendirme</w:t>
    </w:r>
    <w:r>
      <w:rPr>
        <w:rFonts w:ascii="Arial" w:cs="Arial" w:eastAsia="Arial" w:hAnsi="Arial"/>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0"/>
      <w:gridCol w:w="2506"/>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0B7B8B"/>
              <w:sz w:val="18"/>
              <w:szCs w:val="18"/>
            </w:rPr>
            <w:t xml:space="preserve">EGE ÜROJİNEKOLOJİ WORKSHOP</w:t>
          </w:r>
        </w:p>
      </w:tc>
      <w:tc>
        <w:tcPr>
          <w:tcW w:type="dxa" w:w="2506"/>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999999"/>
              <w:sz w:val="18"/>
              <w:szCs w:val="18"/>
            </w:rPr>
            <w:t xml:space="preserve">KLİNİK YAZI | 2025</w:t>
          </w:r>
        </w:p>
      </w:tc>
    </w:tr>
  </w:tbl>
  <w:p>
    <w:pPr>
      <w:pBdr>
        <w:bottom w:val="single" w:color="0B7B8B"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B7B8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2026-03-31T09:23:11.393Z</dcterms:created>
  <dcterms:modified xsi:type="dcterms:W3CDTF">2026-03-31T09:23:11.394Z</dcterms:modified>
</cp:coreProperties>
</file>

<file path=docProps/custom.xml><?xml version="1.0" encoding="utf-8"?>
<Properties xmlns="http://schemas.openxmlformats.org/officeDocument/2006/custom-properties" xmlns:vt="http://schemas.openxmlformats.org/officeDocument/2006/docPropsVTypes"/>
</file>