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0B7B8B" w:val="clear"/>
            <w:tcMar>
              <w:top w:type="dxa" w:w="400"/>
              <w:left w:type="dxa" w:w="400"/>
              <w:bottom w:type="dxa" w:w="400"/>
              <w:right w:type="dxa" w:w="400"/>
            </w:tcMar>
          </w:tcPr>
          <w:p>
            <w:pPr>
              <w:spacing w:before="0" w:after="120"/>
              <w:jc w:val="center"/>
            </w:pPr>
            <w:r>
              <w:rPr>
                <w:rFonts w:ascii="Arial" w:cs="Arial" w:eastAsia="Arial" w:hAnsi="Arial"/>
                <w:color w:val="FFFFFF"/>
                <w:sz w:val="20"/>
                <w:szCs w:val="20"/>
              </w:rPr>
              <w:t xml:space="preserve">EGE ÜROJİNEKOLOJİ WORKSHOP</w:t>
            </w:r>
          </w:p>
          <w:p>
            <w:pPr>
              <w:spacing w:before="0" w:after="200"/>
              <w:jc w:val="center"/>
            </w:pPr>
            <w:r>
              <w:rPr>
                <w:rFonts w:ascii="Arial" w:cs="Arial" w:eastAsia="Arial" w:hAnsi="Arial"/>
                <w:color w:val="CCEEEE"/>
                <w:sz w:val="20"/>
                <w:szCs w:val="20"/>
              </w:rPr>
              <w:t xml:space="preserve">Klinik Yazı</w:t>
            </w:r>
          </w:p>
          <w:p>
            <w:pPr>
              <w:spacing w:before="0" w:after="160"/>
              <w:jc w:val="center"/>
            </w:pPr>
            <w:r>
              <w:rPr>
                <w:rFonts w:ascii="Arial" w:cs="Arial" w:eastAsia="Arial" w:hAnsi="Arial"/>
                <w:b/>
                <w:bCs/>
                <w:color w:val="FFFFFF"/>
                <w:sz w:val="36"/>
                <w:szCs w:val="36"/>
              </w:rPr>
              <w:t xml:space="preserve">AŞIRI AKTİF MESANEDE İLERİ YÖNETİM</w:t>
            </w:r>
          </w:p>
          <w:p>
            <w:pPr>
              <w:spacing w:before="0" w:after="0"/>
              <w:jc w:val="center"/>
            </w:pPr>
            <w:r>
              <w:rPr>
                <w:rFonts w:ascii="Arial" w:cs="Arial" w:eastAsia="Arial" w:hAnsi="Arial"/>
                <w:color w:val="DDEEFF"/>
                <w:sz w:val="24"/>
                <w:szCs w:val="24"/>
              </w:rPr>
              <w:t xml:space="preserve">Ekonomik Yük, PTNS ve Dijital Sağlık Araçları</w:t>
            </w:r>
          </w:p>
        </w:tc>
      </w:tr>
    </w:tbl>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Giriş</w:t>
      </w:r>
    </w:p>
    <w:p>
      <w:pPr>
        <w:spacing w:before="80" w:after="80" w:line="320"/>
        <w:jc w:val="both"/>
      </w:pPr>
      <w:r>
        <w:rPr>
          <w:rFonts w:ascii="Arial" w:cs="Arial" w:eastAsia="Arial" w:hAnsi="Arial"/>
          <w:color w:val="333333"/>
          <w:sz w:val="22"/>
          <w:szCs w:val="22"/>
        </w:rPr>
        <w:t xml:space="preserve">Aşırı aktif mesane (AAM), kronik ve yönetimi güç bir hastalık olarak tanımlanmaktadır. Genel popülasyon prevalansının %16 olduğu göz önüne alındığında, her 12 kadından birinin mevcut birinci ve ikinci basamak tedavilere yanıt vermeyeceği ya da bu tedavileri sürdüremeyeceği öngörülmektedir. Bu tablo; tedavi maliyetlerini artıran, sağlık sistemi kaynaklarını zorlayan ve hasta yaşam kalitesini derinlemesine bozan yapısal bir sorunu işaret etmektedir.</w:t>
      </w:r>
    </w:p>
    <w:p>
      <w:pPr>
        <w:spacing w:before="80" w:after="80" w:line="320"/>
        <w:jc w:val="both"/>
      </w:pPr>
      <w:r>
        <w:rPr>
          <w:rFonts w:ascii="Arial" w:cs="Arial" w:eastAsia="Arial" w:hAnsi="Arial"/>
          <w:color w:val="333333"/>
          <w:sz w:val="22"/>
          <w:szCs w:val="22"/>
        </w:rPr>
        <w:t xml:space="preserve">Bu yazı; AAM'nin ekonomik boyutunu, birinci basamak tedavi başarısızlıklarının sistemik sonuçlarını, posterior tibial nöromodülasyonun (PTNS) güncel kanıt durumunu ve dijital sağlık araçlarının tedavi yönetimine entegrasyonunu ele almaktadır. Birinci yazıyla (AAM: Tanı, Tedavi ve Tedaviye Uyumu Güçlendirme) tamamlayıcı nitelikte hazırlanmıştır.</w:t>
      </w:r>
    </w:p>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AAM'nin Ekonomik Yükü: Görmezden Gelinemeyen Tablo</w:t>
      </w:r>
    </w:p>
    <w:p>
      <w:pPr>
        <w:spacing w:before="80" w:after="80" w:line="320"/>
        <w:jc w:val="both"/>
      </w:pPr>
      <w:r>
        <w:rPr>
          <w:rFonts w:ascii="Arial" w:cs="Arial" w:eastAsia="Arial" w:hAnsi="Arial"/>
          <w:color w:val="333333"/>
          <w:sz w:val="22"/>
          <w:szCs w:val="22"/>
        </w:rPr>
        <w:t xml:space="preserve">AAM'nin ekonomik yükü, yalnızca doğrudan tedavi maliyetlerinden ibaret değildir. Ped ve bez kullanımı, iş gücü kayıpları, bakım hizmetleri ve başarısız tedavi deneyimlerinin yarattığı kümülatif maliyet, hastalığın gerçek ekonomik ağırlığını ortaya koymaktadır. Beş AB ülkesinden elde edilen veriler, son iki dekatta kişi başı AAM harcamalarının üç katına çıktığını göstermektedir.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60"/>
              <w:left w:type="dxa" w:w="200"/>
              <w:bottom w:type="dxa" w:w="160"/>
              <w:right w:type="dxa" w:w="200"/>
            </w:tcMar>
          </w:tcPr>
          <w:p>
            <w:pPr>
              <w:spacing w:before="0" w:after="80"/>
            </w:pPr>
            <w:r>
              <w:rPr>
                <w:rFonts w:ascii="Arial" w:cs="Arial" w:eastAsia="Arial" w:hAnsi="Arial"/>
                <w:b/>
                <w:bCs/>
                <w:color w:val="0B7B8B"/>
                <w:sz w:val="22"/>
                <w:szCs w:val="22"/>
              </w:rPr>
              <w:t xml:space="preserve">Tedavi Maliyetleri: Üçüncü Basamak Karşılaştırması (3 Yıllık Maliyet / ABD)</w:t>
            </w:r>
          </w:p>
          <w:p>
            <w:pPr>
              <w:spacing w:before="40" w:after="40"/>
            </w:pPr>
            <w:r>
              <w:rPr>
                <w:rFonts w:ascii="Arial" w:cs="Arial" w:eastAsia="Arial" w:hAnsi="Arial"/>
                <w:color w:val="333333"/>
                <w:sz w:val="20"/>
                <w:szCs w:val="20"/>
              </w:rPr>
              <w:t xml:space="preserve">• Posterior tibial nöromodülasyon (PTNS): ~5.000 USD</w:t>
            </w:r>
          </w:p>
          <w:p>
            <w:pPr>
              <w:spacing w:before="40" w:after="40"/>
            </w:pPr>
            <w:r>
              <w:rPr>
                <w:rFonts w:ascii="Arial" w:cs="Arial" w:eastAsia="Arial" w:hAnsi="Arial"/>
                <w:color w:val="333333"/>
                <w:sz w:val="20"/>
                <w:szCs w:val="20"/>
              </w:rPr>
              <w:t xml:space="preserve">• Botulinum toksin A (mesane duvarı enjeksiyonu): ~10.000 USD</w:t>
            </w:r>
          </w:p>
          <w:p>
            <w:pPr>
              <w:spacing w:before="40" w:after="40"/>
            </w:pPr>
            <w:r>
              <w:rPr>
                <w:rFonts w:ascii="Arial" w:cs="Arial" w:eastAsia="Arial" w:hAnsi="Arial"/>
                <w:color w:val="333333"/>
                <w:sz w:val="20"/>
                <w:szCs w:val="20"/>
              </w:rPr>
              <w:t xml:space="preserve">• Sakral nöromodülasyon cerrahisi (SNM): ~25.000 USD</w:t>
            </w:r>
          </w:p>
          <w:p>
            <w:pPr>
              <w:spacing w:before="40" w:after="40"/>
            </w:pPr>
            <w:r>
              <w:rPr>
                <w:rFonts w:ascii="Arial" w:cs="Arial" w:eastAsia="Arial" w:hAnsi="Arial"/>
                <w:color w:val="333333"/>
                <w:sz w:val="20"/>
                <w:szCs w:val="20"/>
              </w:rPr>
              <w:t xml:space="preserve">• Karşılaştırma: Ped/bez maliyetleri bu hesaplara dahil edilmediğinde gerçek yük hafife alınmaktadır</w:t>
            </w:r>
          </w:p>
          <w:p>
            <w:pPr>
              <w:spacing w:before="40" w:after="40"/>
            </w:pPr>
            <w:r>
              <w:rPr>
                <w:rFonts w:ascii="Arial" w:cs="Arial" w:eastAsia="Arial" w:hAnsi="Arial"/>
                <w:color w:val="333333"/>
                <w:sz w:val="20"/>
                <w:szCs w:val="20"/>
              </w:rPr>
              <w:t xml:space="preserve">• Dolaylı maliyetler: İş gücü kaybı, düşme ve kırığa bağlı tedavi maliyetleri, bakım hizmetleri</w:t>
            </w:r>
          </w:p>
        </w:tc>
      </w:tr>
    </w:tbl>
    <w:p>
      <w:pPr>
        <w:spacing w:before="80" w:after="80"/>
      </w:pPr>
      <w:r>
        <w:t xml:space="preserve"/>
      </w:r>
    </w:p>
    <w:p>
      <w:pPr>
        <w:spacing w:before="80" w:after="80" w:line="320"/>
        <w:jc w:val="both"/>
      </w:pPr>
      <w:r>
        <w:rPr>
          <w:rFonts w:ascii="Arial" w:cs="Arial" w:eastAsia="Arial" w:hAnsi="Arial"/>
          <w:color w:val="333333"/>
          <w:sz w:val="22"/>
          <w:szCs w:val="22"/>
        </w:rPr>
        <w:t xml:space="preserve">Bu maliyet verilerinin ötesinde, AAM'ye bağlı çevresel etki de göz ardı edilemez. Milyonlarca hastayla ilişkilendirilen günlük ped/bez atıkları; içerdiği kimyasal bileşenler nedeniyle çevre kirliliğine katkıda bulunmaktadır. Etkin tedavilerle hastaların ped kullanımından vazgeçirilmesi, hem bireysel hem de çevresel sağlık açısından anlam taşımaktadır.</w:t>
      </w:r>
    </w:p>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Birinci Basamaktan İleri Tedaviye Geçişin Sistemik Sonuçları</w:t>
      </w:r>
    </w:p>
    <w:p>
      <w:pPr>
        <w:spacing w:before="80" w:after="80" w:line="320"/>
        <w:jc w:val="both"/>
      </w:pPr>
      <w:r>
        <w:rPr>
          <w:rFonts w:ascii="Arial" w:cs="Arial" w:eastAsia="Arial" w:hAnsi="Arial"/>
          <w:color w:val="333333"/>
          <w:sz w:val="22"/>
          <w:szCs w:val="22"/>
        </w:rPr>
        <w:t xml:space="preserve">Literatür verileri, AAM hastalarının yaklaşık yarısının birinci ve ikinci basamak tedavileri yetersiz bulduğunu ya da sürdüremediğini ortaya koymaktadır. Bu hastaların üçüncü basamak tedavilere yönlendirilmesi; hem ekonomik yükü artırmakta hem de daha invaziv, daha maliyetli ve uyum oranları daha düşük seçeneklere maruz kalma riskini beraberinde getirmektedir.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60"/>
              <w:left w:type="dxa" w:w="200"/>
              <w:bottom w:type="dxa" w:w="160"/>
              <w:right w:type="dxa" w:w="200"/>
            </w:tcMar>
          </w:tcPr>
          <w:p>
            <w:pPr>
              <w:spacing w:before="0" w:after="80"/>
            </w:pPr>
            <w:r>
              <w:rPr>
                <w:rFonts w:ascii="Arial" w:cs="Arial" w:eastAsia="Arial" w:hAnsi="Arial"/>
                <w:b/>
                <w:bCs/>
                <w:color w:val="0B7B8B"/>
                <w:sz w:val="22"/>
                <w:szCs w:val="22"/>
              </w:rPr>
              <w:t xml:space="preserve">Basamak Geçişinde Kritik Bulgular</w:t>
            </w:r>
          </w:p>
          <w:p>
            <w:pPr>
              <w:spacing w:before="40" w:after="40"/>
            </w:pPr>
            <w:r>
              <w:rPr>
                <w:rFonts w:ascii="Arial" w:cs="Arial" w:eastAsia="Arial" w:hAnsi="Arial"/>
                <w:color w:val="333333"/>
                <w:sz w:val="20"/>
                <w:szCs w:val="20"/>
              </w:rPr>
              <w:t xml:space="preserve">• Birinci/ikinci basamak başarısızlık oranı: ~%50</w:t>
            </w:r>
          </w:p>
          <w:p>
            <w:pPr>
              <w:spacing w:before="40" w:after="40"/>
            </w:pPr>
            <w:r>
              <w:rPr>
                <w:rFonts w:ascii="Arial" w:cs="Arial" w:eastAsia="Arial" w:hAnsi="Arial"/>
                <w:color w:val="333333"/>
                <w:sz w:val="20"/>
                <w:szCs w:val="20"/>
              </w:rPr>
              <w:t xml:space="preserve">• Üçüncü basamak tedavileri tamamlama oranı: &lt;%5</w:t>
            </w:r>
          </w:p>
          <w:p>
            <w:pPr>
              <w:spacing w:before="40" w:after="40"/>
            </w:pPr>
            <w:r>
              <w:rPr>
                <w:rFonts w:ascii="Arial" w:cs="Arial" w:eastAsia="Arial" w:hAnsi="Arial"/>
                <w:color w:val="333333"/>
                <w:sz w:val="20"/>
                <w:szCs w:val="20"/>
              </w:rPr>
              <w:t xml:space="preserve">• Randomize kontrollü çalışmalarda plasebo grubunda bile &gt;%50 semptom iyileşmesi bildirilmektedir</w:t>
            </w:r>
          </w:p>
          <w:p>
            <w:pPr>
              <w:spacing w:before="40" w:after="40"/>
            </w:pPr>
            <w:r>
              <w:rPr>
                <w:rFonts w:ascii="Arial" w:cs="Arial" w:eastAsia="Arial" w:hAnsi="Arial"/>
                <w:color w:val="333333"/>
                <w:sz w:val="20"/>
                <w:szCs w:val="20"/>
              </w:rPr>
              <w:t xml:space="preserve">• Bu veri; hasta motivasyonu, düzenli iletişim ve beklenti yönetiminin tedaviye katkısını vurgulamaktadır</w:t>
            </w:r>
          </w:p>
          <w:p>
            <w:pPr>
              <w:spacing w:before="40" w:after="40"/>
            </w:pPr>
            <w:r>
              <w:rPr>
                <w:rFonts w:ascii="Arial" w:cs="Arial" w:eastAsia="Arial" w:hAnsi="Arial"/>
                <w:color w:val="333333"/>
                <w:sz w:val="20"/>
                <w:szCs w:val="20"/>
              </w:rPr>
              <w:t xml:space="preserve">• Hasta merkezli yaklaşımlar (düzenli iletişim, gerektiğinde ek değerlendirme, süreç bilgilendirmesi) uyum oranını %600 artırabileceği bildirilmiştir</w:t>
            </w:r>
          </w:p>
        </w:tc>
      </w:tr>
    </w:tbl>
    <w:p>
      <w:pPr>
        <w:spacing w:before="80" w:after="80"/>
      </w:pPr>
      <w:r>
        <w:t xml:space="preserve"/>
      </w:r>
    </w:p>
    <w:p>
      <w:pPr>
        <w:spacing w:before="80" w:after="80" w:line="320"/>
        <w:jc w:val="both"/>
      </w:pPr>
      <w:r>
        <w:rPr>
          <w:rFonts w:ascii="Arial" w:cs="Arial" w:eastAsia="Arial" w:hAnsi="Arial"/>
          <w:color w:val="333333"/>
          <w:sz w:val="22"/>
          <w:szCs w:val="22"/>
        </w:rPr>
        <w:t xml:space="preserve">Kılavuzlar, tüm hastaları standart bir profil olarak ele almaktadır. Ancak klinik gerçeklik bundan çok daha heterojendir. İleri yaş hastada pelvik taban egzersizine uyum düşük olabilir; antikolinerjiklerin bilişsel yükü ve polifarmasi riski birinci basamak seçimini kısıtlayabilir. Tedavi algoritmalarının bireyselleştirilmesi, kılavuz önerilerinin ötesinde klinisyenin sorumluluk alanındadır.</w:t>
      </w:r>
    </w:p>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Posterior Tibial Nöromodülasyon (PTNS): Güncel Kanıt ve Klinik Konum</w:t>
      </w:r>
    </w:p>
    <w:p>
      <w:pPr>
        <w:spacing w:before="80" w:after="80" w:line="320"/>
        <w:jc w:val="both"/>
      </w:pPr>
      <w:r>
        <w:rPr>
          <w:rFonts w:ascii="Arial" w:cs="Arial" w:eastAsia="Arial" w:hAnsi="Arial"/>
          <w:color w:val="333333"/>
          <w:sz w:val="22"/>
          <w:szCs w:val="22"/>
        </w:rPr>
        <w:t xml:space="preserve">PTNS, birinci ve ikinci basamak tedavilere yanıt vermeyen AAM hastalarında üçüncü basamak seçenekler arasında en ekonomik ve en az invaziv olanıdır. Standart protokol; haftada bir, her biri 30 dakikalık 12 seans perkütan uygulamadan oluşmaktadır. Son yıllarda transkutan (yüzeyel) uygulama yolunun perkütan yolla karşılaştırıldığı randomize kontrollü çalışmalar, her iki yöntemin etkinlik açısından benzer sonuçlar verdiğini ortaya koymuştur.</w:t>
      </w:r>
    </w:p>
    <w:p>
      <w:pPr>
        <w:spacing w:before="80"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653"/>
        <w:gridCol w:w="3653"/>
      </w:tblGrid>
      <w:tr>
        <w:tc>
          <w:tcPr>
            <w:tcW w:type="dxa" w:w="2200"/>
            <w:tcBorders>
              <w:top w:val="single" w:color="CCCCCC" w:sz="1"/>
              <w:left w:val="single" w:color="CCCCCC" w:sz="1"/>
              <w:bottom w:val="single" w:color="CCCCCC" w:sz="1"/>
              <w:right w:val="single" w:color="CCCCCC" w:sz="1"/>
            </w:tcBorders>
            <w:shd w:fill="0B7B8B" w:val="clear"/>
            <w:tcMar>
              <w:top w:type="dxa" w:w="100"/>
              <w:left w:type="dxa" w:w="140"/>
              <w:bottom w:type="dxa" w:w="100"/>
              <w:right w:type="dxa" w:w="140"/>
            </w:tcMar>
          </w:tcPr>
          <w:p>
            <w:r>
              <w:rPr>
                <w:rFonts w:ascii="Arial" w:cs="Arial" w:eastAsia="Arial" w:hAnsi="Arial"/>
                <w:b/>
                <w:bCs/>
                <w:color w:val="FFFFFF"/>
                <w:sz w:val="21"/>
                <w:szCs w:val="21"/>
              </w:rPr>
              <w:t xml:space="preserve">Özellik</w:t>
            </w:r>
          </w:p>
        </w:tc>
        <w:tc>
          <w:tcPr>
            <w:tcW w:type="dxa" w:w="3653"/>
            <w:tcBorders>
              <w:top w:val="single" w:color="CCCCCC" w:sz="1"/>
              <w:left w:val="single" w:color="CCCCCC" w:sz="1"/>
              <w:bottom w:val="single" w:color="CCCCCC" w:sz="1"/>
              <w:right w:val="single" w:color="CCCCCC" w:sz="1"/>
            </w:tcBorders>
            <w:shd w:fill="0B7B8B" w:val="clear"/>
            <w:tcMar>
              <w:top w:type="dxa" w:w="100"/>
              <w:left w:type="dxa" w:w="140"/>
              <w:bottom w:type="dxa" w:w="100"/>
              <w:right w:type="dxa" w:w="140"/>
            </w:tcMar>
          </w:tcPr>
          <w:p>
            <w:r>
              <w:rPr>
                <w:rFonts w:ascii="Arial" w:cs="Arial" w:eastAsia="Arial" w:hAnsi="Arial"/>
                <w:b/>
                <w:bCs/>
                <w:color w:val="FFFFFF"/>
                <w:sz w:val="21"/>
                <w:szCs w:val="21"/>
              </w:rPr>
              <w:t xml:space="preserve">Perkütan PTNS</w:t>
            </w:r>
          </w:p>
        </w:tc>
        <w:tc>
          <w:tcPr>
            <w:tcW w:type="dxa" w:w="3653"/>
            <w:tcBorders>
              <w:top w:val="single" w:color="CCCCCC" w:sz="1"/>
              <w:left w:val="single" w:color="CCCCCC" w:sz="1"/>
              <w:bottom w:val="single" w:color="CCCCCC" w:sz="1"/>
              <w:right w:val="single" w:color="CCCCCC" w:sz="1"/>
            </w:tcBorders>
            <w:shd w:fill="0B7B8B" w:val="clear"/>
            <w:tcMar>
              <w:top w:type="dxa" w:w="100"/>
              <w:left w:type="dxa" w:w="140"/>
              <w:bottom w:type="dxa" w:w="100"/>
              <w:right w:type="dxa" w:w="140"/>
            </w:tcMar>
          </w:tcPr>
          <w:p>
            <w:r>
              <w:rPr>
                <w:rFonts w:ascii="Arial" w:cs="Arial" w:eastAsia="Arial" w:hAnsi="Arial"/>
                <w:b/>
                <w:bCs/>
                <w:color w:val="FFFFFF"/>
                <w:sz w:val="21"/>
                <w:szCs w:val="21"/>
              </w:rPr>
              <w:t xml:space="preserve">Transkutan PTNS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Uygulama yolu</w:t>
            </w:r>
          </w:p>
        </w:tc>
        <w:tc>
          <w:tcPr>
            <w:tcW w:type="dxa" w:w="365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İnce iğne — medial malleol üstü</w:t>
            </w:r>
          </w:p>
        </w:tc>
        <w:tc>
          <w:tcPr>
            <w:tcW w:type="dxa" w:w="365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Yüzeyel elektrot — cilt üstü</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Personel gereksinimi</w:t>
            </w:r>
          </w:p>
        </w:tc>
        <w:tc>
          <w:tcPr>
            <w:tcW w:type="dxa" w:w="36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Eğitimli klinisyen</w:t>
            </w:r>
          </w:p>
        </w:tc>
        <w:tc>
          <w:tcPr>
            <w:tcW w:type="dxa" w:w="36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Geniş sağlık personeli profili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Hasta konforu</w:t>
            </w:r>
          </w:p>
        </w:tc>
        <w:tc>
          <w:tcPr>
            <w:tcW w:type="dxa" w:w="365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Minimal ağrı; iyi tolere edilir</w:t>
            </w:r>
          </w:p>
        </w:tc>
        <w:tc>
          <w:tcPr>
            <w:tcW w:type="dxa" w:w="365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Ağrısız; daha yüksek kabul oranı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Etkinlik</w:t>
            </w:r>
          </w:p>
        </w:tc>
        <w:tc>
          <w:tcPr>
            <w:tcW w:type="dxa" w:w="36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Kanıtlanmış; kılavuzlarda önerilen</w:t>
            </w:r>
          </w:p>
        </w:tc>
        <w:tc>
          <w:tcPr>
            <w:tcW w:type="dxa" w:w="36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RKÇ'lerde perkütan ile eşdeğer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Maliyet</w:t>
            </w:r>
          </w:p>
        </w:tc>
        <w:tc>
          <w:tcPr>
            <w:tcW w:type="dxa" w:w="365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Daha düşük; 3 yılda ~5.000 USD</w:t>
            </w:r>
          </w:p>
        </w:tc>
        <w:tc>
          <w:tcPr>
            <w:tcW w:type="dxa" w:w="365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Potansiyel olarak daha düşük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65 yaş üstü</w:t>
            </w:r>
          </w:p>
        </w:tc>
        <w:tc>
          <w:tcPr>
            <w:tcW w:type="dxa" w:w="36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 uyumlu üçüncü basamak seçeneği (ABD verisi)</w:t>
            </w:r>
          </w:p>
        </w:tc>
        <w:tc>
          <w:tcPr>
            <w:tcW w:type="dxa" w:w="36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Uygulama kolaylığı avantajlı</w:t>
            </w:r>
          </w:p>
        </w:tc>
      </w:tr>
    </w:tbl>
    <w:p>
      <w:pPr>
        <w:spacing w:before="80" w:after="80"/>
      </w:pPr>
      <w:r>
        <w:t xml:space="preserve"/>
      </w:r>
    </w:p>
    <w:p>
      <w:pPr>
        <w:spacing w:before="80" w:after="80" w:line="320"/>
        <w:jc w:val="both"/>
      </w:pPr>
      <w:r>
        <w:rPr>
          <w:rFonts w:ascii="Arial" w:cs="Arial" w:eastAsia="Arial" w:hAnsi="Arial"/>
          <w:color w:val="333333"/>
          <w:sz w:val="22"/>
          <w:szCs w:val="22"/>
        </w:rPr>
        <w:t xml:space="preserve">ABD'de tanı kodlarıyla yürütülen geniş ölçekli bir analizde PTNS'in 65 yaş üstü hastalarda en iyi uyum sağlanan ileri tedavi seçeneği olduğu bildirilmiştir. Bununla birlikte, bu popülasyonda bile uyum oranları istenilen düzeyin çok altında kalmaktadır. Ulaşım güçlüğü, zaman kısıtı ve ekonomik engeller hasta bazında farklı ağırlıklarda belirleyici olmaktadır. Bu gerçeklik, PTNS'in tek tip bir protokol yerine esnek ve bireyselleştirilmiş bir çerçevede sunulması gerektiğini göstermektedir.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60"/>
              <w:left w:type="dxa" w:w="200"/>
              <w:bottom w:type="dxa" w:w="160"/>
              <w:right w:type="dxa" w:w="200"/>
            </w:tcMar>
          </w:tcPr>
          <w:p>
            <w:pPr>
              <w:spacing w:before="0" w:after="80"/>
            </w:pPr>
            <w:r>
              <w:rPr>
                <w:rFonts w:ascii="Arial" w:cs="Arial" w:eastAsia="Arial" w:hAnsi="Arial"/>
                <w:b/>
                <w:bCs/>
                <w:color w:val="0B7B8B"/>
                <w:sz w:val="22"/>
                <w:szCs w:val="22"/>
              </w:rPr>
              <w:t xml:space="preserve">PTNS Uygulama Protokolü: Klinik Özet</w:t>
            </w:r>
          </w:p>
          <w:p>
            <w:pPr>
              <w:spacing w:before="40" w:after="40"/>
            </w:pPr>
            <w:r>
              <w:rPr>
                <w:rFonts w:ascii="Arial" w:cs="Arial" w:eastAsia="Arial" w:hAnsi="Arial"/>
                <w:color w:val="333333"/>
                <w:sz w:val="20"/>
                <w:szCs w:val="20"/>
              </w:rPr>
              <w:t xml:space="preserve">• Standart protokol: Haftada 1 seans, 30 dakika, 12 hafta (perkütan veya transkutan)</w:t>
            </w:r>
          </w:p>
          <w:p>
            <w:pPr>
              <w:spacing w:before="40" w:after="40"/>
            </w:pPr>
            <w:r>
              <w:rPr>
                <w:rFonts w:ascii="Arial" w:cs="Arial" w:eastAsia="Arial" w:hAnsi="Arial"/>
                <w:color w:val="333333"/>
                <w:sz w:val="20"/>
                <w:szCs w:val="20"/>
              </w:rPr>
              <w:t xml:space="preserve">• İdame tedavi: Yanıt alınan hastalarda aylık seans; uzun dönem etkinlik sürdürülebilir</w:t>
            </w:r>
          </w:p>
          <w:p>
            <w:pPr>
              <w:spacing w:before="40" w:after="40"/>
            </w:pPr>
            <w:r>
              <w:rPr>
                <w:rFonts w:ascii="Arial" w:cs="Arial" w:eastAsia="Arial" w:hAnsi="Arial"/>
                <w:color w:val="333333"/>
                <w:sz w:val="20"/>
                <w:szCs w:val="20"/>
              </w:rPr>
              <w:t xml:space="preserve">• Kontrendikasyonlar: Aktif derin ven trombozu, kalp pili, medial malleol bölgesinde aktif enfeksiyon</w:t>
            </w:r>
          </w:p>
          <w:p>
            <w:pPr>
              <w:spacing w:before="40" w:after="40"/>
            </w:pPr>
            <w:r>
              <w:rPr>
                <w:rFonts w:ascii="Arial" w:cs="Arial" w:eastAsia="Arial" w:hAnsi="Arial"/>
                <w:color w:val="333333"/>
                <w:sz w:val="20"/>
                <w:szCs w:val="20"/>
              </w:rPr>
              <w:t xml:space="preserve">• Yanıt değerlendirmesi: 6. seans sonrası semptom günlüğü ile ara değerlendirme önerilir</w:t>
            </w:r>
          </w:p>
          <w:p>
            <w:pPr>
              <w:spacing w:before="40" w:after="40"/>
            </w:pPr>
            <w:r>
              <w:rPr>
                <w:rFonts w:ascii="Arial" w:cs="Arial" w:eastAsia="Arial" w:hAnsi="Arial"/>
                <w:color w:val="333333"/>
                <w:sz w:val="20"/>
                <w:szCs w:val="20"/>
              </w:rPr>
              <w:t xml:space="preserve">• Antimuskarinik ilaçlarla karşılaştıran RKÇ'lerde benzer etkinlik bildirilmiştir</w:t>
            </w:r>
          </w:p>
        </w:tc>
      </w:tr>
    </w:tbl>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Dijital Sağlık Araçlarının AAM Yönetimine Entegrasyonu</w:t>
      </w:r>
    </w:p>
    <w:p>
      <w:pPr>
        <w:spacing w:before="80" w:after="80" w:line="320"/>
        <w:jc w:val="both"/>
      </w:pPr>
      <w:r>
        <w:rPr>
          <w:rFonts w:ascii="Arial" w:cs="Arial" w:eastAsia="Arial" w:hAnsi="Arial"/>
          <w:color w:val="333333"/>
          <w:sz w:val="22"/>
          <w:szCs w:val="22"/>
        </w:rPr>
        <w:t xml:space="preserve">Dijital medya ve mobil uygulamalar, her yaştan bireyin günlük yaşamının ayrılmaz bir parçası haline gelmiştir. AAM yönetiminde bu potansiyelin yeterince değerlendirilmediği açıktır. Bireyselleştirilmiş dijital iletişim platformları; uyum sorununu hafifletmek, tedavi sürekliliğini güçlendirmek ve kılavuz önerilerini daha geniş hasta gruplarına ulaştırmak açısından önemli bir fırsat sunmaktadır.</w:t>
      </w:r>
    </w:p>
    <w:p>
      <w:pPr>
        <w:spacing w:before="80" w:after="80"/>
      </w:pPr>
      <w:r>
        <w:t xml:space="preserve"/>
      </w:r>
    </w:p>
    <w:p>
      <w:pPr>
        <w:pStyle w:val="Heading2"/>
        <w:spacing w:before="240" w:after="120"/>
      </w:pPr>
      <w:r>
        <w:rPr>
          <w:rFonts w:ascii="Arial" w:cs="Arial" w:eastAsia="Arial" w:hAnsi="Arial"/>
          <w:b/>
          <w:bCs/>
          <w:color w:val="1A2B3C"/>
          <w:sz w:val="24"/>
          <w:szCs w:val="24"/>
        </w:rPr>
        <w:t xml:space="preserve">Mobil Uygulamalar ve İşeme Günlüğü</w:t>
      </w:r>
    </w:p>
    <w:p>
      <w:pPr>
        <w:spacing w:before="80" w:after="80" w:line="320"/>
        <w:jc w:val="both"/>
      </w:pPr>
      <w:r>
        <w:rPr>
          <w:rFonts w:ascii="Arial" w:cs="Arial" w:eastAsia="Arial" w:hAnsi="Arial"/>
          <w:color w:val="333333"/>
          <w:sz w:val="22"/>
          <w:szCs w:val="22"/>
        </w:rPr>
        <w:t xml:space="preserve">Kağıt bazlı işeme günlüklerinin dijital platformlara taşınması; hem veri kalitesini artırmakta hem de hastanın tedavi sürecine aktif katılımını güçlendirmektedir. Plasebo gruplarında bile %50'yi aşan semptom iyileşmesi raporlanan çalışmalar, düzenli öz-takip ve farkındalığın tedaviye bağımsız katkısını vurgulamaktadır. Dijital işeme günlükleri bu mekanizmayı yapılandırılmış biçimde desteklemektedir.</w:t>
      </w:r>
    </w:p>
    <w:p>
      <w:pPr>
        <w:spacing w:before="80" w:after="80"/>
      </w:pPr>
      <w:r>
        <w:t xml:space="preserve"/>
      </w:r>
    </w:p>
    <w:p>
      <w:pPr>
        <w:pStyle w:val="Heading2"/>
        <w:spacing w:before="240" w:after="120"/>
      </w:pPr>
      <w:r>
        <w:rPr>
          <w:rFonts w:ascii="Arial" w:cs="Arial" w:eastAsia="Arial" w:hAnsi="Arial"/>
          <w:b/>
          <w:bCs/>
          <w:color w:val="1A2B3C"/>
          <w:sz w:val="24"/>
          <w:szCs w:val="24"/>
        </w:rPr>
        <w:t xml:space="preserve">Pelvik Taban Egzersizleri ve Dijital Destek</w:t>
      </w:r>
    </w:p>
    <w:p>
      <w:pPr>
        <w:spacing w:before="80" w:after="80" w:line="320"/>
        <w:jc w:val="both"/>
      </w:pPr>
      <w:r>
        <w:rPr>
          <w:rFonts w:ascii="Arial" w:cs="Arial" w:eastAsia="Arial" w:hAnsi="Arial"/>
          <w:color w:val="333333"/>
          <w:sz w:val="22"/>
          <w:szCs w:val="22"/>
        </w:rPr>
        <w:t xml:space="preserve">Pelvik taban kas egzersizleri (PFMT), tüm kılavuzlarda birinci basamak tedavi olarak yer almakla birlikte; nasıl, ne zaman, ne sıklıkla ve hangi içerikle uygulanacağı konusundaki belirsizlik klinik etkinliği sınırlamaktadır. Dijital platformlar, egzersiz protokollerini görsel ve sesli rehberlikle bireyselleştirme, hatırlatıcı bildirimler aracılığıyla uyumu artırma ve ilerlemeyi ölçülebilir biçimde takip etme olanağı sunmaktadır.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60"/>
              <w:left w:type="dxa" w:w="200"/>
              <w:bottom w:type="dxa" w:w="160"/>
              <w:right w:type="dxa" w:w="200"/>
            </w:tcMar>
          </w:tcPr>
          <w:p>
            <w:pPr>
              <w:spacing w:before="0" w:after="80"/>
            </w:pPr>
            <w:r>
              <w:rPr>
                <w:rFonts w:ascii="Arial" w:cs="Arial" w:eastAsia="Arial" w:hAnsi="Arial"/>
                <w:b/>
                <w:bCs/>
                <w:color w:val="0B7B8B"/>
                <w:sz w:val="22"/>
                <w:szCs w:val="22"/>
              </w:rPr>
              <w:t xml:space="preserve">AAM Yönetiminde Dijital Araçların Potansiyel Katkıları</w:t>
            </w:r>
          </w:p>
          <w:p>
            <w:pPr>
              <w:spacing w:before="40" w:after="40"/>
            </w:pPr>
            <w:r>
              <w:rPr>
                <w:rFonts w:ascii="Arial" w:cs="Arial" w:eastAsia="Arial" w:hAnsi="Arial"/>
                <w:color w:val="333333"/>
                <w:sz w:val="20"/>
                <w:szCs w:val="20"/>
              </w:rPr>
              <w:t xml:space="preserve">• Dijital işeme günlüğü: Gerçek zamanlı veri; vizit kalitesini artırır; tedavi kararlarını yönlendirir</w:t>
            </w:r>
          </w:p>
          <w:p>
            <w:pPr>
              <w:spacing w:before="40" w:after="40"/>
            </w:pPr>
            <w:r>
              <w:rPr>
                <w:rFonts w:ascii="Arial" w:cs="Arial" w:eastAsia="Arial" w:hAnsi="Arial"/>
                <w:color w:val="333333"/>
                <w:sz w:val="20"/>
                <w:szCs w:val="20"/>
              </w:rPr>
              <w:t xml:space="preserve">• Mobil PFMT uygulamaları: Egzersiz protokolü bireyselleştirme; hatırlatıcı; ilerleme takibi</w:t>
            </w:r>
          </w:p>
          <w:p>
            <w:pPr>
              <w:spacing w:before="40" w:after="40"/>
            </w:pPr>
            <w:r>
              <w:rPr>
                <w:rFonts w:ascii="Arial" w:cs="Arial" w:eastAsia="Arial" w:hAnsi="Arial"/>
                <w:color w:val="333333"/>
                <w:sz w:val="20"/>
                <w:szCs w:val="20"/>
              </w:rPr>
              <w:t xml:space="preserve">• Mesane eğitimi modülleri: Zamanlı işeme protokolü; aralık uzatma rehberi</w:t>
            </w:r>
          </w:p>
          <w:p>
            <w:pPr>
              <w:spacing w:before="40" w:after="40"/>
            </w:pPr>
            <w:r>
              <w:rPr>
                <w:rFonts w:ascii="Arial" w:cs="Arial" w:eastAsia="Arial" w:hAnsi="Arial"/>
                <w:color w:val="333333"/>
                <w:sz w:val="20"/>
                <w:szCs w:val="20"/>
              </w:rPr>
              <w:t xml:space="preserve">• Semptom sorgulama araçları: OAB-q gibi doğrulanmış ölçütlerin dijital versiyonları</w:t>
            </w:r>
          </w:p>
          <w:p>
            <w:pPr>
              <w:spacing w:before="40" w:after="40"/>
            </w:pPr>
            <w:r>
              <w:rPr>
                <w:rFonts w:ascii="Arial" w:cs="Arial" w:eastAsia="Arial" w:hAnsi="Arial"/>
                <w:color w:val="333333"/>
                <w:sz w:val="20"/>
                <w:szCs w:val="20"/>
              </w:rPr>
              <w:t xml:space="preserve">• Hasta-hekim iletişim platformları: Periyodik değerlendirme; uyum sorunlarının erken tespiti</w:t>
            </w:r>
          </w:p>
          <w:p>
            <w:pPr>
              <w:spacing w:before="40" w:after="40"/>
            </w:pPr>
            <w:r>
              <w:rPr>
                <w:rFonts w:ascii="Arial" w:cs="Arial" w:eastAsia="Arial" w:hAnsi="Arial"/>
                <w:color w:val="333333"/>
                <w:sz w:val="20"/>
                <w:szCs w:val="20"/>
              </w:rPr>
              <w:t xml:space="preserve">• Klinik veri birikimi: Sınırlı çalışma verilerinin genişletilmesi için gerçek dünya kanıtı</w:t>
            </w:r>
          </w:p>
        </w:tc>
      </w:tr>
    </w:tbl>
    <w:p>
      <w:pPr>
        <w:spacing w:before="80" w:after="80"/>
      </w:pPr>
      <w:r>
        <w:t xml:space="preserve"/>
      </w:r>
    </w:p>
    <w:p>
      <w:pPr>
        <w:spacing w:before="80" w:after="80" w:line="320"/>
        <w:jc w:val="both"/>
      </w:pPr>
      <w:r>
        <w:rPr>
          <w:rFonts w:ascii="Arial" w:cs="Arial" w:eastAsia="Arial" w:hAnsi="Arial"/>
          <w:color w:val="333333"/>
          <w:sz w:val="22"/>
          <w:szCs w:val="22"/>
        </w:rPr>
        <w:t xml:space="preserve">Tek tip bir dijital model yerine, temel ilkelerden taviz vermeksizin bireyselleştirmeye en yakın platformların geliştirilmesi hedeflenmelidir. Bu platformların klinik karar destek sistemleriyle entegrasyonu ise AAM yönetiminde bir sonraki kritik adımı oluşturmaktadır.</w:t>
      </w:r>
    </w:p>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Ege Ürojinekoloji Workshop: Program Felsefesi</w:t>
      </w:r>
    </w:p>
    <w:p>
      <w:pPr>
        <w:spacing w:before="80" w:after="80" w:line="320"/>
        <w:jc w:val="both"/>
      </w:pPr>
      <w:r>
        <w:rPr>
          <w:rFonts w:ascii="Arial" w:cs="Arial" w:eastAsia="Arial" w:hAnsi="Arial"/>
          <w:color w:val="333333"/>
          <w:sz w:val="22"/>
          <w:szCs w:val="22"/>
        </w:rPr>
        <w:t xml:space="preserve">Ege Ürojinekoloji Workshop, ürojinekoloji alanında klinik yetkinliği artırmaya yönelik, kanıt temelli ve uygulamalı eğitimi ön plana çıkaran bir sürekli tıp eğitimi platformudur. İki günlük yoğun format; teorik bilgi aktarımını, realistik maket uygulamalarını ve hands-on istasyonları bir arada sunmaktadır.</w:t>
      </w:r>
    </w:p>
    <w:p>
      <w:pPr>
        <w:spacing w:before="80" w:after="80" w:line="320"/>
        <w:jc w:val="both"/>
      </w:pPr>
      <w:r>
        <w:rPr>
          <w:rFonts w:ascii="Arial" w:cs="Arial" w:eastAsia="Arial" w:hAnsi="Arial"/>
          <w:color w:val="333333"/>
          <w:sz w:val="22"/>
          <w:szCs w:val="22"/>
        </w:rPr>
        <w:t xml:space="preserve">Workshop'un temel felsefesi şudur: Ürojinekolojide klinik başarı, anatomiyi iyi bilmek ile doğru hastaya doğru tedaviyi doğru teknikle uygulamak arasındaki köprüyü kurmaktan geçer. Bu köprünün kurulabilmesi için teorik bilginin simülasyon ve kadavra uygulamalarıyla pekiştirilmesi şarttır.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60"/>
              <w:left w:type="dxa" w:w="200"/>
              <w:bottom w:type="dxa" w:w="160"/>
              <w:right w:type="dxa" w:w="200"/>
            </w:tcMar>
          </w:tcPr>
          <w:p>
            <w:pPr>
              <w:spacing w:before="0" w:after="80"/>
            </w:pPr>
            <w:r>
              <w:rPr>
                <w:rFonts w:ascii="Arial" w:cs="Arial" w:eastAsia="Arial" w:hAnsi="Arial"/>
                <w:b/>
                <w:bCs/>
                <w:color w:val="0B7B8B"/>
                <w:sz w:val="22"/>
                <w:szCs w:val="22"/>
              </w:rPr>
              <w:t xml:space="preserve">Workshop'un Temel Öğrenme Hedefleri</w:t>
            </w:r>
          </w:p>
          <w:p>
            <w:pPr>
              <w:spacing w:before="40" w:after="40"/>
            </w:pPr>
            <w:r>
              <w:rPr>
                <w:rFonts w:ascii="Arial" w:cs="Arial" w:eastAsia="Arial" w:hAnsi="Arial"/>
                <w:color w:val="333333"/>
                <w:sz w:val="20"/>
                <w:szCs w:val="20"/>
              </w:rPr>
              <w:t xml:space="preserve">• AAM'de ileri tedavi endikasyonlarını ve hasta seçim kriterlerini uygulamak</w:t>
            </w:r>
          </w:p>
          <w:p>
            <w:pPr>
              <w:spacing w:before="40" w:after="40"/>
            </w:pPr>
            <w:r>
              <w:rPr>
                <w:rFonts w:ascii="Arial" w:cs="Arial" w:eastAsia="Arial" w:hAnsi="Arial"/>
                <w:color w:val="333333"/>
                <w:sz w:val="20"/>
                <w:szCs w:val="20"/>
              </w:rPr>
              <w:t xml:space="preserve">• PTNS'in perkütan ve transkutan tekniklerini karşılaştırmalı olarak değerlendirmek ve uygulamayı deneyimlemek</w:t>
            </w:r>
          </w:p>
          <w:p>
            <w:pPr>
              <w:spacing w:before="40" w:after="40"/>
            </w:pPr>
            <w:r>
              <w:rPr>
                <w:rFonts w:ascii="Arial" w:cs="Arial" w:eastAsia="Arial" w:hAnsi="Arial"/>
                <w:color w:val="333333"/>
                <w:sz w:val="20"/>
                <w:szCs w:val="20"/>
              </w:rPr>
              <w:t xml:space="preserve">• Botulinum toksin A enjeksiyonu ve sakral nöromodülasyonun teknik ve klinik özelliklerini kavramak</w:t>
            </w:r>
          </w:p>
          <w:p>
            <w:pPr>
              <w:spacing w:before="40" w:after="40"/>
            </w:pPr>
            <w:r>
              <w:rPr>
                <w:rFonts w:ascii="Arial" w:cs="Arial" w:eastAsia="Arial" w:hAnsi="Arial"/>
                <w:color w:val="333333"/>
                <w:sz w:val="20"/>
                <w:szCs w:val="20"/>
              </w:rPr>
              <w:t xml:space="preserve">• Tedaviye uyumsuzluğun sistemik nedenlerini analiz etmek ve bireyselleştirilmiş çözüm önerileri geliştirmek</w:t>
            </w:r>
          </w:p>
          <w:p>
            <w:pPr>
              <w:spacing w:before="40" w:after="40"/>
            </w:pPr>
            <w:r>
              <w:rPr>
                <w:rFonts w:ascii="Arial" w:cs="Arial" w:eastAsia="Arial" w:hAnsi="Arial"/>
                <w:color w:val="333333"/>
                <w:sz w:val="20"/>
                <w:szCs w:val="20"/>
              </w:rPr>
              <w:t xml:space="preserve">• Dijital sağlık araçlarını AAM yönetimine entegre etmeye yönelik klinik stratejiler oluşturmak</w:t>
            </w:r>
          </w:p>
          <w:p>
            <w:pPr>
              <w:spacing w:before="40" w:after="40"/>
            </w:pPr>
            <w:r>
              <w:rPr>
                <w:rFonts w:ascii="Arial" w:cs="Arial" w:eastAsia="Arial" w:hAnsi="Arial"/>
                <w:color w:val="333333"/>
                <w:sz w:val="20"/>
                <w:szCs w:val="20"/>
              </w:rPr>
              <w:t xml:space="preserve">• İleri yaş AAM hastasında polifarmasi ve komorbiditelerle birlikte yönetim planı kurmak</w:t>
            </w:r>
          </w:p>
        </w:tc>
      </w:tr>
    </w:tbl>
    <w:p>
      <w:pPr>
        <w:spacing w:before="80" w:after="80"/>
      </w:pPr>
      <w:r>
        <w:t xml:space="preserve"/>
      </w:r>
    </w:p>
    <w:p>
      <w:pPr>
        <w:spacing w:before="80" w:after="80" w:line="320"/>
        <w:jc w:val="both"/>
      </w:pPr>
      <w:r>
        <w:rPr>
          <w:rFonts w:ascii="Arial" w:cs="Arial" w:eastAsia="Arial" w:hAnsi="Arial"/>
          <w:color w:val="333333"/>
          <w:sz w:val="22"/>
          <w:szCs w:val="22"/>
        </w:rPr>
        <w:t xml:space="preserve">Her workshop döngüsü; o dönem için belirlenen odak konu ve prosedür çerçevesinde içerik açısından güncellenmektedir. Katılımcılar; uzman cerrahlar, interaktif vaka tartışmaları ve uygulamalı istasyonlar aracılığıyla klinik problem çözme becerilerini geliştirme fırsatı bulmaktadır.</w:t>
      </w:r>
    </w:p>
    <w:p>
      <w:pPr>
        <w:spacing w:before="80" w:after="80"/>
      </w:pPr>
      <w:r>
        <w:t xml:space="preserve"/>
      </w:r>
    </w:p>
    <w:p>
      <w:pPr>
        <w:pStyle w:val="Heading1"/>
        <w:pBdr>
          <w:bottom w:val="single" w:color="0B7B8B" w:sz="6" w:space="6"/>
        </w:pBdr>
        <w:spacing w:before="360" w:after="180"/>
      </w:pPr>
      <w:r>
        <w:rPr>
          <w:rFonts w:ascii="Arial" w:cs="Arial" w:eastAsia="Arial" w:hAnsi="Arial"/>
          <w:b/>
          <w:bCs/>
          <w:color w:val="0B7B8B"/>
          <w:sz w:val="28"/>
          <w:szCs w:val="28"/>
        </w:rPr>
        <w:t xml:space="preserve">Temel Referanslar</w:t>
      </w:r>
    </w:p>
    <w:p>
      <w:pPr>
        <w:pStyle w:val="ListParagraph"/>
        <w:numPr>
          <w:ilvl w:val="0"/>
          <w:numId w:val="2"/>
        </w:numPr>
        <w:spacing w:before="60" w:after="60"/>
      </w:pPr>
      <w:r>
        <w:rPr>
          <w:rFonts w:ascii="Arial" w:cs="Arial" w:eastAsia="Arial" w:hAnsi="Arial"/>
          <w:color w:val="333333"/>
          <w:sz w:val="22"/>
          <w:szCs w:val="22"/>
        </w:rPr>
        <w:t xml:space="preserve">Chapple CR et al. Overactive bladder therapy: pharmacological, surgical and other treatments. Eur Urol. 2023</w:t>
      </w:r>
    </w:p>
    <w:p>
      <w:pPr>
        <w:pStyle w:val="ListParagraph"/>
        <w:numPr>
          <w:ilvl w:val="0"/>
          <w:numId w:val="2"/>
        </w:numPr>
        <w:spacing w:before="60" w:after="60"/>
      </w:pPr>
      <w:r>
        <w:rPr>
          <w:rFonts w:ascii="Arial" w:cs="Arial" w:eastAsia="Arial" w:hAnsi="Arial"/>
          <w:color w:val="333333"/>
          <w:sz w:val="22"/>
          <w:szCs w:val="22"/>
        </w:rPr>
        <w:t xml:space="preserve">Peters KM et al. Randomized trial of percutaneous tibial nerve stimulation versus Sham efficacy in the treatment of overactive bladder syndrome. J Urol. 2010</w:t>
      </w:r>
    </w:p>
    <w:p>
      <w:pPr>
        <w:pStyle w:val="ListParagraph"/>
        <w:numPr>
          <w:ilvl w:val="0"/>
          <w:numId w:val="2"/>
        </w:numPr>
        <w:spacing w:before="60" w:after="60"/>
      </w:pPr>
      <w:r>
        <w:rPr>
          <w:rFonts w:ascii="Arial" w:cs="Arial" w:eastAsia="Arial" w:hAnsi="Arial"/>
          <w:color w:val="333333"/>
          <w:sz w:val="22"/>
          <w:szCs w:val="22"/>
        </w:rPr>
        <w:t xml:space="preserve">Booth J et al. Transcutaneous tibial nerve stimulation (TTNS) for overactive bladder: systematic review. Neurourol Urodyn. 2022</w:t>
      </w:r>
    </w:p>
    <w:p>
      <w:pPr>
        <w:pStyle w:val="ListParagraph"/>
        <w:numPr>
          <w:ilvl w:val="0"/>
          <w:numId w:val="2"/>
        </w:numPr>
        <w:spacing w:before="60" w:after="60"/>
      </w:pPr>
      <w:r>
        <w:rPr>
          <w:rFonts w:ascii="Arial" w:cs="Arial" w:eastAsia="Arial" w:hAnsi="Arial"/>
          <w:color w:val="333333"/>
          <w:sz w:val="22"/>
          <w:szCs w:val="22"/>
        </w:rPr>
        <w:t xml:space="preserve">Coyne KS et al. The prevalence of lower urinary tract symptoms (LUTS) in the USA, the UK and Sweden. BJU Int. 2009</w:t>
      </w:r>
    </w:p>
    <w:p>
      <w:pPr>
        <w:pStyle w:val="ListParagraph"/>
        <w:numPr>
          <w:ilvl w:val="0"/>
          <w:numId w:val="2"/>
        </w:numPr>
        <w:spacing w:before="60" w:after="60"/>
      </w:pPr>
      <w:r>
        <w:rPr>
          <w:rFonts w:ascii="Arial" w:cs="Arial" w:eastAsia="Arial" w:hAnsi="Arial"/>
          <w:color w:val="333333"/>
          <w:sz w:val="22"/>
          <w:szCs w:val="22"/>
        </w:rPr>
        <w:t xml:space="preserve">Milsom I et al. Global trends in the prevalence and incidence of overactive bladder. Eur Urol Focus. 2017</w:t>
      </w:r>
    </w:p>
    <w:p>
      <w:pPr>
        <w:pStyle w:val="ListParagraph"/>
        <w:numPr>
          <w:ilvl w:val="0"/>
          <w:numId w:val="2"/>
        </w:numPr>
        <w:spacing w:before="60" w:after="60"/>
      </w:pPr>
      <w:r>
        <w:rPr>
          <w:rFonts w:ascii="Arial" w:cs="Arial" w:eastAsia="Arial" w:hAnsi="Arial"/>
          <w:color w:val="333333"/>
          <w:sz w:val="22"/>
          <w:szCs w:val="22"/>
        </w:rPr>
        <w:t xml:space="preserve">EAU Guidelines on Urinary Incontinence — Neuromodulation and Third-Line Therapies, Güncel Baskı</w:t>
      </w:r>
    </w:p>
    <w:p>
      <w:pPr>
        <w:spacing w:before="80" w:after="80"/>
      </w:pPr>
      <w:r>
        <w:t xml:space="preserve"/>
      </w:r>
    </w:p>
    <w:p>
      <w:pPr>
        <w:pBdr>
          <w:top w:val="single" w:color="0B7B8B" w:sz="4" w:space="8"/>
        </w:pBdr>
        <w:spacing w:before="200" w:after="0"/>
        <w:jc w:val="center"/>
      </w:pPr>
      <w:r>
        <w:rPr>
          <w:rFonts w:ascii="Arial" w:cs="Arial" w:eastAsia="Arial" w:hAnsi="Arial"/>
          <w:color w:val="999999"/>
          <w:sz w:val="18"/>
          <w:szCs w:val="18"/>
        </w:rPr>
        <w:t xml:space="preserve">© 2025 Ege Ürojinekoloji Workshop | egeurojinekoloji.com</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8"/>
        <w:szCs w:val="18"/>
      </w:rPr>
      <w:t xml:space="preserve">AAM'de İleri Yönetim: Ekonomik Yük, PTNS ve Dijital Sağlık</w:t>
    </w:r>
    <w:r>
      <w:rPr>
        <w:rFonts w:ascii="Arial" w:cs="Arial" w:eastAsia="Arial" w:hAnsi="Arial"/>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0"/>
      <w:gridCol w:w="2506"/>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0B7B8B"/>
              <w:sz w:val="18"/>
              <w:szCs w:val="18"/>
            </w:rPr>
            <w:t xml:space="preserve">EGE ÜROJİNEKOLOJİ WORKSHOP</w:t>
          </w:r>
        </w:p>
      </w:tc>
      <w:tc>
        <w:tcPr>
          <w:tcW w:type="dxa" w:w="2506"/>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999999"/>
              <w:sz w:val="18"/>
              <w:szCs w:val="18"/>
            </w:rPr>
            <w:t xml:space="preserve">KLİNİK YAZI | 2025</w:t>
          </w:r>
        </w:p>
      </w:tc>
    </w:tr>
  </w:tbl>
  <w:p>
    <w:pPr>
      <w:pBdr>
        <w:bottom w:val="single" w:color="0B7B8B"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B7B8B"/>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A2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2026-03-31T09:25:47.695Z</dcterms:created>
  <dcterms:modified xsi:type="dcterms:W3CDTF">2026-03-31T09:25:47.695Z</dcterms:modified>
</cp:coreProperties>
</file>

<file path=docProps/custom.xml><?xml version="1.0" encoding="utf-8"?>
<Properties xmlns="http://schemas.openxmlformats.org/officeDocument/2006/custom-properties" xmlns:vt="http://schemas.openxmlformats.org/officeDocument/2006/docPropsVTypes"/>
</file>