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2"/>
        </w:rPr>
        <w:t xml:space="preserve">DISTRIBUTION AGREEMENT No. KPS-NW-2026/07</w:t>
      </w:r>
    </w:p>
    <w:p>
      <w:pPr>
        <w:spacing w:after="120"/>
        <w:jc w:val="both"/>
      </w:pPr>
      <w:r>
        <w:t xml:space="preserve">This Agreement is made on ___ November 2026 between Kestrel Pump Systems Inc., 4100 Gulf Freeway, Houston, TX 77023, USA (EIN 84-3920175), hereinafter "Supplier", and Nordwave Engineering &amp; Trading Ltd, 14 Harbour Road, Bristol BS1 6XX, United Kingdom (Company no. 11847263), hereinafter "Distributor".</w:t>
      </w:r>
    </w:p>
    <w:p>
      <w:pPr>
        <w:spacing w:before="240" w:after="120"/>
      </w:pPr>
      <w:r>
        <w:rPr>
          <w:b/>
          <w:sz w:val="24"/>
        </w:rPr>
        <w:t xml:space="preserve">1. Appointment</w:t>
      </w:r>
    </w:p>
    <w:p>
      <w:pPr>
        <w:spacing w:after="120"/>
        <w:jc w:val="both"/>
      </w:pPr>
      <w:r>
        <w:t xml:space="preserve">1.1. The Supplier appoints the Distributor as its non-exclusive distributor of Kestrel centrifugal pumps and spare parts in the United Kingdom and Ireland.</w:t>
      </w:r>
    </w:p>
    <w:p>
      <w:pPr>
        <w:spacing w:after="120"/>
        <w:jc w:val="both"/>
      </w:pPr>
      <w:r>
        <w:t xml:space="preserve">1.2. The Distributor shall purchase products for not less than USD 240,000 per contract year.</w:t>
      </w:r>
    </w:p>
    <w:p>
      <w:pPr>
        <w:spacing w:before="240" w:after="120"/>
      </w:pPr>
      <w:r>
        <w:rPr>
          <w:b/>
          <w:sz w:val="24"/>
        </w:rPr>
        <w:t xml:space="preserve">2. Prices and payment</w:t>
      </w:r>
    </w:p>
    <w:p>
      <w:pPr>
        <w:spacing w:after="120"/>
        <w:jc w:val="both"/>
      </w:pPr>
      <w:r>
        <w:t xml:space="preserve">2.1. Prices are the Supplier's list prices less a distributor discount of 22%.</w:t>
      </w:r>
    </w:p>
    <w:p>
      <w:pPr>
        <w:spacing w:after="120"/>
        <w:jc w:val="both"/>
      </w:pPr>
      <w:r>
        <w:t xml:space="preserve">2.2. Invoices are payable within 30 days of the shipment date.</w:t>
      </w:r>
    </w:p>
    <w:p>
      <w:pPr>
        <w:spacing w:before="240" w:after="120"/>
      </w:pPr>
      <w:r>
        <w:rPr>
          <w:b/>
          <w:sz w:val="24"/>
        </w:rPr>
        <w:t xml:space="preserve">3. Delivery</w:t>
      </w:r>
    </w:p>
    <w:p>
      <w:pPr>
        <w:spacing w:after="120"/>
        <w:jc w:val="both"/>
      </w:pPr>
      <w:r>
        <w:t xml:space="preserve">3.1. Products are delivered FCA Houston (Incoterms 2020). Lead time is up to 6 weeks from the order.</w:t>
      </w:r>
    </w:p>
    <w:p>
      <w:pPr>
        <w:spacing w:before="240" w:after="120"/>
      </w:pPr>
      <w:r>
        <w:rPr>
          <w:b/>
          <w:sz w:val="24"/>
        </w:rPr>
        <w:t xml:space="preserve">4. Warranty</w:t>
      </w:r>
    </w:p>
    <w:p>
      <w:pPr>
        <w:spacing w:after="120"/>
        <w:jc w:val="both"/>
      </w:pPr>
      <w:r>
        <w:t xml:space="preserve">4.1. 24 months from commissioning, but no longer than 30 months from shipment.</w:t>
      </w:r>
    </w:p>
    <w:p>
      <w:pPr>
        <w:spacing w:before="240" w:after="120"/>
      </w:pPr>
      <w:r>
        <w:rPr>
          <w:b/>
          <w:sz w:val="24"/>
        </w:rPr>
        <w:t xml:space="preserve">5. Term</w:t>
      </w:r>
    </w:p>
    <w:p>
      <w:pPr>
        <w:spacing w:after="120"/>
        <w:jc w:val="both"/>
      </w:pPr>
      <w:r>
        <w:t xml:space="preserve">5.1. This Agreement runs for two years from signature and renews for further one-year periods unless terminated with 60 days' notice.</w:t>
      </w:r>
    </w:p>
    <w:sectPr>
      <w:pgSz w:w="11906" w:h="16838"/>
      <w:pgMar w:top="1134" w:right="850" w:bottom="1134" w:left="1418" w:header="708" w:footer="708" w:gutter="0"/>
    </w:sectPr>
  </w:body>
</w:document>
</file>