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Analytical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spacing w:after="240"/>
      </w:pPr>
    </w:p>
    <w:p>
      <w:pPr>
        <w:pStyle w:val="Heading1"/>
      </w:pPr>
      <w:r>
        <w:t>Legend of Changes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155724"/>
                <w:sz w:val="14"/>
                <w:shd w:val="clear" w:fill="D4EDDA"/>
              </w:rPr>
              <w:t xml:space="preserve">  ADDED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New component found in the new specification.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721C24"/>
                <w:sz w:val="14"/>
                <w:shd w:val="clear" w:fill="F8D7DA"/>
              </w:rPr>
              <w:t xml:space="preserve">  REMOVED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from the old specification that is no longer present.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exists in both versions but has changed content.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changed name but is structurally identical to a removed component.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RENAMED &amp;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been renamed and also has content changes.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REF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A reference that points to a renamed component.</w:t>
            </w:r>
          </w:p>
        </w:tc>
      </w:tr>
    </w:tbl>
    <w:p>
      <w:pPr>
        <w:pStyle w:val="Heading1"/>
      </w:pPr>
      <w:r>
        <w:t>Change Matrix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Category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Removed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Modified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Renamed</w:t>
            </w:r>
          </w:p>
        </w:tc>
      </w:tr>
      <w:tr>
        <w:tc>
          <w:tcPr>
            <w:tcW w:type="dxa" w:w="288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  <w:color w:val="323232"/>
              </w:rPr>
              <w:t>Endpoints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b/>
                <w:color w:val="B48200"/>
              </w:rPr>
              <w:t>1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</w:tr>
    </w:tbl>
    <w:p>
      <w:pPr>
        <w:spacing w:after="480"/>
      </w:pPr>
    </w:p>
    <w:p>
      <w:pPr>
        <w:pStyle w:val="Heading1"/>
      </w:pPr>
      <w:r>
        <w:t>General Info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Para 1: This is the </w:t>
            </w:r>
            <w:r>
              <w:rPr>
                <w:shd w:val="clear" w:fill="FFF3CD"/>
              </w:rPr>
              <w:t>first</w:t>
            </w:r>
            <w:r>
              <w:t xml:space="preserve"> paragraph </w:t>
            </w:r>
            <w:r>
              <w:rPr>
                <w:shd w:val="clear" w:fill="FFF3CD"/>
              </w:rPr>
              <w:t>that will be modified.</w:t>
              <w:br/>
              <w:br/>
              <w:t>Para 2: This paragraph will be deleted.</w:t>
              <w:br/>
              <w:br/>
              <w:t>Para 3: This one too</w:t>
            </w:r>
            <w:r>
              <w:t>.</w:t>
              <w:br/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Para 1: This is the </w:t>
            </w:r>
            <w:r>
              <w:rPr>
                <w:shd w:val="clear" w:fill="FFF3CD"/>
              </w:rPr>
              <w:t>COMPLETELY NEW</w:t>
            </w:r>
            <w:r>
              <w:t xml:space="preserve"> paragraph </w:t>
            </w:r>
            <w:r>
              <w:rPr>
                <w:shd w:val="clear" w:fill="FFF3CD"/>
              </w:rPr>
              <w:t>1</w:t>
            </w:r>
            <w:r>
              <w:t>.</w:t>
              <w:br/>
            </w:r>
          </w:p>
        </w:tc>
      </w:tr>
    </w:tbl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No new endpoints.</w:t>
      </w:r>
    </w:p>
    <w:p>
      <w:pPr>
        <w:pStyle w:val="Heading2"/>
      </w:pPr>
      <w:r>
        <w:t>Modified Endpoints</w:t>
      </w:r>
    </w:p>
    <w:p>
      <w:pPr>
        <w:pStyle w:val="Heading3"/>
      </w:pPr>
      <w:r>
        <w:t>/test</w:t>
      </w:r>
    </w:p>
    <w:p>
      <w:pPr>
        <w:ind w:left="360"/>
      </w:pPr>
      <w:r>
        <w:rPr>
          <w:rFonts w:ascii="Segoe UI" w:hAnsi="Segoe UI"/>
          <w:b/>
          <w:color w:val="856404"/>
          <w:sz w:val="14"/>
          <w:shd w:val="clear" w:fill="FFF3CD"/>
        </w:rPr>
        <w:t xml:space="preserve">  MODIFIED  </w:t>
      </w:r>
      <w:r>
        <w:t xml:space="preserve"> </w:t>
      </w:r>
      <w:r>
        <w:t xml:space="preserve"> Method: The following methods have changed:</w:t>
      </w:r>
    </w:p>
    <w:p>
      <w:pPr>
        <w:ind w:left="720"/>
      </w:pPr>
      <w:r>
        <w:rPr>
          <w:rFonts w:ascii="Segoe UI" w:hAnsi="Segoe UI"/>
          <w:b/>
          <w:color w:val="383D41"/>
          <w:sz w:val="14"/>
          <w:shd w:val="clear" w:fill="E2E3E5"/>
        </w:rPr>
        <w:t xml:space="preserve">  GET  </w:t>
      </w:r>
      <w:r>
        <w:t xml:space="preserve"> </w:t>
      </w:r>
    </w:p>
    <w:p>
      <w:pPr>
        <w:ind w:left="1080"/>
      </w:pPr>
      <w:r>
        <w:rPr>
          <w:rFonts w:ascii="Segoe UI" w:hAnsi="Segoe UI"/>
          <w:b/>
          <w:color w:val="856404"/>
          <w:sz w:val="14"/>
          <w:shd w:val="clear" w:fill="FFF3CD"/>
        </w:rPr>
        <w:t xml:space="preserve">  MODIFIED  </w:t>
      </w:r>
      <w:r>
        <w:t xml:space="preserve"> </w:t>
      </w:r>
      <w:r>
        <w:t xml:space="preserve"> Response 200</w:t>
      </w:r>
    </w:p>
    <w:p>
      <w:pPr>
        <w:ind w:left="1440"/>
      </w:pPr>
      <w:r>
        <w:t>Media Type: application/json</w:t>
      </w:r>
    </w:p>
    <w:p>
      <w:pPr>
        <w:ind w:left="1800"/>
      </w:pPr>
      <w:r>
        <w:t>Inline Schema Property Changes:</w:t>
      </w:r>
    </w:p>
    <w:tbl>
      <w:tblPr>
        <w:tblW w:type="dxa" w:w="8280"/>
        <w:jc w:val="left"/>
        <w:tblInd w:w="1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1152"/>
        <w:gridCol w:w="2484"/>
        <w:gridCol w:w="2484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Property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Change</w:t>
            </w:r>
          </w:p>
        </w:tc>
        <w:tc>
          <w:tcPr>
            <w:tcW w:type="dxa" w:w="248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</w:t>
            </w:r>
          </w:p>
        </w:tc>
        <w:tc>
          <w:tcPr>
            <w:tcW w:type="dxa" w:w="248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qualifier</w:t>
            </w:r>
          </w:p>
        </w:tc>
        <w:tc>
          <w:tcPr>
            <w:tcW w:type="dxa" w:w="1152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</w:p>
        </w:tc>
        <w:tc>
          <w:tcPr>
            <w:tcW w:type="dxa" w:w="248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description: </w:t>
            </w:r>
            <w:r>
              <w:t>Qualifier: PVAH, PVHI, PVAG</w:t>
            </w:r>
            <w:r>
              <w:rPr>
                <w:shd w:val="clear" w:fill="F8D7DA"/>
              </w:rPr>
              <w:t>, EVOP</w:t>
            </w:r>
            <w:r>
              <w:br/>
            </w:r>
          </w:p>
        </w:tc>
        <w:tc>
          <w:tcPr>
            <w:tcW w:type="dxa" w:w="248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description: </w:t>
            </w:r>
            <w:r>
              <w:t>Qualifier: PVAH, PVHI, PVAG</w:t>
            </w:r>
            <w:r>
              <w:br/>
            </w:r>
          </w:p>
        </w:tc>
      </w:tr>
    </w:tbl>
    <w:p>
      <w:pPr>
        <w:spacing w:after="120"/>
      </w:pPr>
    </w:p>
    <w:p>
      <w:pPr>
        <w:pStyle w:val="Heading1"/>
      </w:pPr>
      <w:r>
        <w:t>Components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Generated on 2026-03-11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OpenAPI Analytic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ListBullet4">
    <w:name w:val="List Bullet 4"/>
    <w:basedOn w:val="ListBullet"/>
    <w:pPr>
      <w:ind w:left="1440" w:hanging="360"/>
    </w:pPr>
    <w:rPr>
      <w:rFonts w:ascii="Segoe UI" w:hAnsi="Segoe UI"/>
    </w:rPr>
  </w:style>
  <w:style w:type="paragraph" w:customStyle="1" w:styleId="ListBullet5">
    <w:name w:val="List Bullet 5"/>
    <w:basedOn w:val="ListBullet"/>
    <w:pPr>
      <w:ind w:left="1800" w:hanging="360"/>
    </w:pPr>
    <w:rPr>
      <w:rFonts w:ascii="Segoe UI" w:hAnsi="Segoe U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