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Analytical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Strict Color Test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Strict Color Test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1.1.0</w:t>
            </w:r>
          </w:p>
        </w:tc>
      </w:tr>
    </w:tbl>
    <w:p>
      <w:pPr>
        <w:spacing w:after="240"/>
      </w:pPr>
    </w:p>
    <w:p>
      <w:pPr>
        <w:pStyle w:val="Heading1"/>
      </w:pPr>
      <w:r>
        <w:t>Legend of Changes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155724"/>
                <w:sz w:val="14"/>
                <w:shd w:val="clear" w:fill="D4EDDA"/>
              </w:rPr>
              <w:t xml:space="preserve">  ADDED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New component found in the new specification.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721C24"/>
                <w:sz w:val="14"/>
                <w:shd w:val="clear" w:fill="F8D7DA"/>
              </w:rPr>
              <w:t xml:space="preserve">  REMOVED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from the old specification that is no longer present.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exists in both versions but has changed content.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changed name but is structurally identical to a removed component.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RENAMED &amp;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been renamed and also has content changes.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REF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A reference that points to a renamed component.</w:t>
            </w:r>
          </w:p>
        </w:tc>
      </w:tr>
    </w:tbl>
    <w:p>
      <w:pPr>
        <w:pStyle w:val="Heading1"/>
      </w:pPr>
      <w:r>
        <w:t>Change Matrix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1800"/>
        <w:gridCol w:w="1800"/>
        <w:gridCol w:w="1800"/>
      </w:tblGrid>
      <w:tr>
        <w:tc>
          <w:tcPr>
            <w:tcW w:type="dxa" w:w="288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Category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Removed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Modified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Renamed</w:t>
            </w:r>
          </w:p>
        </w:tc>
      </w:tr>
    </w:tbl>
    <w:p>
      <w:pPr>
        <w:spacing w:after="480"/>
      </w:pPr>
    </w:p>
    <w:p>
      <w:pPr>
        <w:pStyle w:val="Heading1"/>
      </w:pPr>
      <w:r>
        <w:t>General Info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 Value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 Value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1.1.0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Usage for SWIFT BAV service V3: Qualifier: PVAH, PVHI, PVAG</w:t>
            </w:r>
            <w:r>
              <w:rPr>
                <w:shd w:val="clear" w:fill="FFF3CD"/>
              </w:rPr>
              <w:t>, EVOP</w:t>
              <w:br/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Usage for SWIFT BAV service V3: Qualifier: PVAH, PVHI, PVAG</w:t>
            </w:r>
            <w:r>
              <w:rPr>
                <w:shd w:val="clear" w:fill="FFF3CD"/>
              </w:rPr>
              <w:br/>
            </w:r>
          </w:p>
        </w:tc>
      </w:tr>
    </w:tbl>
    <w:p>
      <w:pPr>
        <w:pStyle w:val="Heading1"/>
      </w:pPr>
      <w:r>
        <w:t>Endpoints Summary</w:t>
      </w:r>
    </w:p>
    <w:p>
      <w:pPr>
        <w:pStyle w:val="Heading2"/>
      </w:pPr>
      <w:r>
        <w:t>New Endpoints</w:t>
      </w:r>
    </w:p>
    <w:p>
      <w:r>
        <w:t>No new endpoints.</w:t>
      </w:r>
    </w:p>
    <w:p>
      <w:pPr>
        <w:pStyle w:val="Heading2"/>
      </w:pPr>
      <w:r>
        <w:t>Modified Endpoints</w:t>
      </w:r>
    </w:p>
    <w:p>
      <w:r>
        <w:t>No modified endpoints.</w:t>
      </w:r>
    </w:p>
    <w:p>
      <w:pPr>
        <w:pStyle w:val="Heading1"/>
      </w:pPr>
      <w:r>
        <w:t>Components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6"/>
      </w:rPr>
      <w:t xml:space="preserve">Generated on 2026-03-11 |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OpenAPI Analytic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ListBullet4">
    <w:name w:val="List Bullet 4"/>
    <w:basedOn w:val="ListBullet"/>
    <w:pPr>
      <w:ind w:left="1440" w:hanging="360"/>
    </w:pPr>
    <w:rPr>
      <w:rFonts w:ascii="Segoe UI" w:hAnsi="Segoe UI"/>
    </w:rPr>
  </w:style>
  <w:style w:type="paragraph" w:customStyle="1" w:styleId="ListBullet5">
    <w:name w:val="List Bullet 5"/>
    <w:basedOn w:val="ListBullet"/>
    <w:pPr>
      <w:ind w:left="1800" w:hanging="360"/>
    </w:pPr>
    <w:rPr>
      <w:rFonts w:ascii="Segoe UI" w:hAnsi="Segoe U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