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OpenAPI Comparison - Analytical Report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Detail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Old Specification</w:t>
            </w:r>
          </w:p>
        </w:tc>
        <w:tc>
          <w:tcPr>
            <w:tcW w:type="dxa" w:w="3960"/>
            <w:shd w:val="clear" w:fill="1F4E79"/>
            <w:tcBorders>
              <w:bottom w:val="single" w:sz="12" w:color="FFFFFF"/>
            </w:tcBorders>
          </w:tcPr>
          <w:p>
            <w:pPr>
              <w:pStyle w:val="TableHeader"/>
            </w:pPr>
            <w:r>
              <w:rPr>
                <w:color w:val="FFFFFF"/>
              </w:rPr>
              <w:t>New Specification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File Name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N/A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API Title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EVOP Precision Test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EVOP Precision Test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</w:tbl>
    <w:p>
      <w:pPr>
        <w:spacing w:after="240"/>
      </w:pPr>
    </w:p>
    <w:p>
      <w:pPr>
        <w:pStyle w:val="Heading1"/>
      </w:pPr>
      <w:r>
        <w:t>Legend of Changes</w:t>
      </w:r>
    </w:p>
    <w:tbl>
      <w:tblPr>
        <w:tblW w:type="dxa" w:w="1008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155724"/>
                <w:sz w:val="14"/>
                <w:shd w:val="clear" w:fill="D4EDDA"/>
              </w:rPr>
              <w:t xml:space="preserve">  ADDED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New component found in the new specification.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721C24"/>
                <w:sz w:val="14"/>
                <w:shd w:val="clear" w:fill="F8D7DA"/>
              </w:rPr>
              <w:t xml:space="preserve">  REMOVED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from the old specification that is no longer present.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exists in both versions but has changed content.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changed name but is structurally identical to a removed component.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856404"/>
                <w:sz w:val="14"/>
                <w:shd w:val="clear" w:fill="FFF3CD"/>
              </w:rPr>
              <w:t xml:space="preserve">  RENAMED &amp; MODIFIED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Component that has been renamed and also has content changes.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rPr>
                <w:rFonts w:ascii="Segoe UI" w:hAnsi="Segoe UI"/>
                <w:b/>
                <w:color w:val="0C5460"/>
                <w:sz w:val="14"/>
                <w:shd w:val="clear" w:fill="D1ECF1"/>
              </w:rPr>
              <w:t xml:space="preserve">  REF RENAMED  </w:t>
            </w:r>
            <w:r>
              <w:t xml:space="preserve"> </w:t>
            </w:r>
          </w:p>
        </w:tc>
        <w:tc>
          <w:tcPr>
            <w:tcW w:type="dxa" w:w="5040"/>
            <w:tcBorders>
              <w:top w:val="nil"/>
              <w:left w:val="nil"/>
              <w:right w:val="nil"/>
              <w:bottom w:val="single" w:sz="4" w:color="E0E0E0"/>
            </w:tcBorders>
            <w:vAlign w:val="center"/>
          </w:tcPr>
          <w:p>
            <w:pPr>
              <w:pStyle w:val="TableText"/>
              <w:spacing w:before="0" w:after="0"/>
            </w:pPr>
            <w:r>
              <w:t>A reference that points to a renamed component.</w:t>
            </w:r>
          </w:p>
        </w:tc>
      </w:tr>
    </w:tbl>
    <w:p>
      <w:pPr>
        <w:pStyle w:val="Heading1"/>
      </w:pPr>
      <w:r>
        <w:t>Change Matrix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80"/>
        <w:gridCol w:w="1800"/>
        <w:gridCol w:w="1800"/>
        <w:gridCol w:w="1800"/>
        <w:gridCol w:w="1800"/>
      </w:tblGrid>
      <w:tr>
        <w:tc>
          <w:tcPr>
            <w:tcW w:type="dxa" w:w="288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Category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Removed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Modified</w:t>
            </w:r>
          </w:p>
        </w:tc>
        <w:tc>
          <w:tcPr>
            <w:tcW w:type="dxa" w:w="180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Renamed</w:t>
            </w:r>
          </w:p>
        </w:tc>
      </w:tr>
    </w:tbl>
    <w:p>
      <w:pPr>
        <w:spacing w:after="480"/>
      </w:pPr>
    </w:p>
    <w:p>
      <w:pPr>
        <w:pStyle w:val="Heading1"/>
      </w:pPr>
      <w:r>
        <w:t>General Info</w:t>
      </w:r>
    </w:p>
    <w:tbl>
      <w:tblPr>
        <w:tblW w:type="dxa" w:w="1008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c>
          <w:tcPr>
            <w:tcW w:type="dxa" w:w="21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Old Value</w:t>
            </w:r>
          </w:p>
        </w:tc>
        <w:tc>
          <w:tcPr>
            <w:tcW w:type="dxa" w:w="3960"/>
            <w:tcBorders>
              <w:bottom w:val="single" w:sz="12" w:color="000000"/>
            </w:tcBorders>
          </w:tcPr>
          <w:p>
            <w:pPr>
              <w:pStyle w:val="TableHeader"/>
            </w:pPr>
            <w:r>
              <w:t>New Value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version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1.0.0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1.1.0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description</w:t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Usage for SWIFT BAV service V3: Qualifier: PVAH, PVHI, PVAG</w:t>
            </w:r>
            <w:r>
              <w:rPr>
                <w:shd w:val="clear" w:fill="F8D7DA"/>
              </w:rPr>
              <w:t>, EVOP</w:t>
            </w:r>
            <w:r>
              <w:br/>
            </w:r>
          </w:p>
        </w:tc>
        <w:tc>
          <w:tcPr>
            <w:tcW w:type="dxa" w:w="39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pStyle w:val="TableText"/>
            </w:pPr>
            <w:r>
              <w:t>Usage for SWIFT BAV service V3: Qualifier: PVAH, PVHI, PVAG</w:t>
            </w:r>
            <w:r>
              <w:br/>
            </w:r>
          </w:p>
        </w:tc>
      </w:tr>
    </w:tbl>
    <w:p>
      <w:pPr>
        <w:pStyle w:val="Heading1"/>
      </w:pPr>
      <w:r>
        <w:t>Endpoints Summary</w:t>
      </w:r>
    </w:p>
    <w:p>
      <w:pPr>
        <w:pStyle w:val="Heading2"/>
      </w:pPr>
      <w:r>
        <w:t>New Endpoints</w:t>
      </w:r>
    </w:p>
    <w:p>
      <w:r>
        <w:t>No new endpoints.</w:t>
      </w:r>
    </w:p>
    <w:p>
      <w:pPr>
        <w:pStyle w:val="Heading2"/>
      </w:pPr>
      <w:r>
        <w:t>Modified Endpoints</w:t>
      </w:r>
    </w:p>
    <w:p>
      <w:r>
        <w:t>No modified endpoints.</w:t>
      </w:r>
    </w:p>
    <w:p>
      <w:pPr>
        <w:pStyle w:val="Heading1"/>
      </w:pPr>
      <w:r>
        <w:t>Components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08080"/>
        <w:sz w:val="16"/>
      </w:rPr>
      <w:t xml:space="preserve">Generated on 2026-03-11 |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OpenAPI Analytic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  <w:ind w:left="0" w:firstLine="0"/>
    </w:pPr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6" w:space="4" w:color="003366"/>
      </w:pBdr>
      <w:spacing w:before="480" w:after="240"/>
      <w:outlineLvl w:val="0"/>
    </w:pPr>
    <w:rPr>
      <w:rFonts w:asciiTheme="majorHAnsi" w:eastAsiaTheme="majorEastAsia" w:hAnsiTheme="majorHAnsi" w:cstheme="majorBidi" w:ascii="Segoe UI" w:hAnsi="Segoe U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" w:hAnsi="Segoe U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basedOn w:val="Normal"/>
    <w:pPr>
      <w:spacing w:before="120" w:after="120"/>
      <w:jc w:val="left"/>
    </w:pPr>
    <w:rPr>
      <w:b/>
      <w:color w:val="505050"/>
    </w:rPr>
  </w:style>
  <w:style w:type="paragraph" w:customStyle="1" w:styleId="TableText">
    <w:name w:val="Table Text"/>
    <w:basedOn w:val="Normal"/>
    <w:pPr>
      <w:spacing w:before="80" w:after="80"/>
    </w:pPr>
    <w:rPr>
      <w:sz w:val="18"/>
    </w:rPr>
  </w:style>
  <w:style w:type="paragraph" w:customStyle="1" w:styleId="ListBullet4">
    <w:name w:val="List Bullet 4"/>
    <w:basedOn w:val="ListBullet"/>
    <w:pPr>
      <w:ind w:left="1440" w:hanging="360"/>
    </w:pPr>
    <w:rPr>
      <w:rFonts w:ascii="Segoe UI" w:hAnsi="Segoe UI"/>
    </w:rPr>
  </w:style>
  <w:style w:type="paragraph" w:customStyle="1" w:styleId="ListBullet5">
    <w:name w:val="List Bullet 5"/>
    <w:basedOn w:val="ListBullet"/>
    <w:pPr>
      <w:ind w:left="1800" w:hanging="360"/>
    </w:pPr>
    <w:rPr>
      <w:rFonts w:ascii="Segoe UI" w:hAnsi="Segoe U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