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OpenAPI Comparison - Impact Report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Detail</w:t>
            </w:r>
          </w:p>
        </w:tc>
        <w:tc>
          <w:tcPr>
            <w:tcW w:type="dxa" w:w="33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Old Specification</w:t>
            </w:r>
          </w:p>
        </w:tc>
        <w:tc>
          <w:tcPr>
            <w:tcW w:type="dxa" w:w="33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New Specification</w:t>
            </w:r>
          </w:p>
        </w:tc>
      </w:tr>
      <w:tr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File Name</w:t>
            </w:r>
          </w:p>
        </w:tc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N/A</w:t>
            </w:r>
          </w:p>
        </w:tc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N/A</w:t>
            </w:r>
          </w:p>
        </w:tc>
      </w:tr>
      <w:tr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API Title</w:t>
            </w:r>
          </w:p>
        </w:tc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Test API</w:t>
            </w:r>
          </w:p>
        </w:tc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Test API</w:t>
            </w:r>
          </w:p>
        </w:tc>
      </w:tr>
      <w:tr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Version</w:t>
            </w:r>
          </w:p>
        </w:tc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1.0.0</w:t>
            </w:r>
          </w:p>
        </w:tc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1.0.0</w:t>
            </w:r>
          </w:p>
        </w:tc>
      </w:tr>
    </w:tbl>
    <w:p>
      <w:pPr>
        <w:spacing w:after="240"/>
      </w:pPr>
    </w:p>
    <w:p>
      <w:pPr>
        <w:spacing w:before="240" w:after="80"/>
      </w:pPr>
      <w:r>
        <w:rPr>
          <w:rFonts w:ascii="Arial" w:hAnsi="Arial"/>
          <w:b/>
          <w:color w:val="505050"/>
          <w:sz w:val="22"/>
        </w:rPr>
        <w:t>MIGRATION IMPACT OVERVIEW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"/>
            <w:shd w:fill="0C5460"/>
          </w:tcPr>
          <w:p/>
        </w:tc>
        <w:tc>
          <w:tcPr>
            <w:tcW w:type="dxa" w:w="9864"/>
            <w:shd w:fill="D1ECF1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0C5460"/>
                <w:sz w:val="20"/>
              </w:rPr>
              <w:t>Minor changes detected:</w:t>
            </w:r>
            <w:r>
              <w:br/>
            </w:r>
            <w:r>
              <w:br/>
            </w:r>
            <w:r>
              <w:rPr>
                <w:i/>
                <w:color w:val="0C5460"/>
                <w:sz w:val="18"/>
              </w:rPr>
              <w:t>Standard regression testing recommended.</w:t>
            </w:r>
          </w:p>
        </w:tc>
      </w:tr>
    </w:tbl>
    <w:p/>
    <w:p>
      <w:pPr>
        <w:pStyle w:val="Heading1"/>
        <w:spacing w:before="480" w:after="240"/>
        <w:ind w:left="0"/>
        <w:pBdr>
          <w:left w:val="single" w:sz="24" w:space="12" w:color="4A90E2"/>
        </w:pBdr>
      </w:pPr>
      <w:r>
        <w:rPr>
          <w:rFonts w:ascii="Arial" w:hAnsi="Arial"/>
          <w:caps/>
          <w:color w:val="000000"/>
          <w:sz w:val="22"/>
        </w:rPr>
        <w:t>1. ENDPOINT IMPACT MATRIX</w:t>
      </w:r>
    </w:p>
    <w:p>
      <w:pPr>
        <w:spacing w:after="80" w:line="80" w:lineRule="exact"/>
      </w:pP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ENDPOINT RESOURCE</w:t>
            </w:r>
          </w:p>
        </w:tc>
        <w:tc>
          <w:tcPr>
            <w:tcW w:type="dxa" w:w="1152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METHOD</w:t>
            </w:r>
          </w:p>
        </w:tc>
        <w:tc>
          <w:tcPr>
            <w:tcW w:type="dxa" w:w="6336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DETAILED TECHNICAL IMPACT</w:t>
            </w:r>
          </w:p>
        </w:tc>
      </w:tr>
      <w:tr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/test</w:t>
            </w:r>
          </w:p>
        </w:tc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GET</w:t>
            </w:r>
          </w:p>
        </w:tc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rFonts w:ascii="Segoe UI" w:hAnsi="Segoe UI"/>
                <w:b/>
                <w:color w:val="856404"/>
                <w:sz w:val="14"/>
                <w:shd w:val="clear" w:fill="FFF3CD"/>
              </w:rPr>
              <w:t xml:space="preserve">  HIGH  </w:t>
            </w:r>
            <w:r>
              <w:t xml:space="preserve"> Response schema changed.</w:t>
              <w:br/>
            </w:r>
          </w:p>
        </w:tc>
      </w:tr>
    </w:tbl>
    <w:p>
      <w:pPr>
        <w:spacing w:after="480"/>
      </w:pPr>
    </w:p>
    <w:p>
      <w:pPr>
        <w:pStyle w:val="Heading1"/>
        <w:spacing w:before="480" w:after="240"/>
        <w:ind w:left="0"/>
        <w:pBdr>
          <w:left w:val="single" w:sz="24" w:space="12" w:color="4A90E2"/>
        </w:pBdr>
      </w:pPr>
      <w:r>
        <w:rPr>
          <w:rFonts w:ascii="Arial" w:hAnsi="Arial"/>
          <w:caps/>
          <w:color w:val="000000"/>
          <w:sz w:val="22"/>
        </w:rPr>
        <w:t>2. DETAILED SCHEMA ANALYSIS</w:t>
      </w:r>
    </w:p>
    <w:p>
      <w:pPr>
        <w:spacing w:after="80" w:line="80" w:lineRule="exact"/>
      </w:pPr>
    </w:p>
    <w:p>
      <w:pPr>
        <w:spacing w:after="480"/>
      </w:pPr>
    </w:p>
    <w:p>
      <w:pPr>
        <w:pStyle w:val="Heading1"/>
        <w:spacing w:before="480" w:after="240"/>
        <w:ind w:left="0"/>
        <w:pBdr>
          <w:left w:val="single" w:sz="24" w:space="12" w:color="4A90E2"/>
        </w:pBdr>
      </w:pPr>
      <w:r>
        <w:rPr>
          <w:rFonts w:ascii="Arial" w:hAnsi="Arial"/>
          <w:caps/>
          <w:color w:val="000000"/>
          <w:sz w:val="22"/>
        </w:rPr>
        <w:t>3. TECHNICAL DEEP DIVE</w:t>
      </w:r>
    </w:p>
    <w:p>
      <w:pPr>
        <w:spacing w:after="80" w:line="80" w:lineRule="exact"/>
      </w:pPr>
    </w:p>
    <w:p>
      <w:pPr>
        <w:pStyle w:val="InsightTitle"/>
      </w:pPr>
      <w:r>
        <w:t>3.1 Documentation Updated</w:t>
      </w:r>
    </w:p>
    <w:p>
      <w:pPr/>
      <w:r>
        <w:t>Technical contract modification detected. Review specific changes in the sections above.</w:t>
      </w:r>
    </w:p>
    <w:p>
      <w:pPr>
        <w:spacing w:after="240"/>
        <w:ind w:left="360"/>
      </w:pPr>
      <w:r>
        <w:rPr>
          <w:i/>
          <w:color w:val="505050"/>
          <w:sz w:val="18"/>
        </w:rPr>
        <w:t>Affected Areas: GET /test</w:t>
      </w:r>
    </w:p>
    <w:p>
      <w:pPr>
        <w:pStyle w:val="Heading1"/>
        <w:spacing w:before="480" w:after="240"/>
        <w:ind w:left="0"/>
        <w:pBdr>
          <w:left w:val="single" w:sz="24" w:space="12" w:color="4A90E2"/>
        </w:pBdr>
      </w:pPr>
      <w:r>
        <w:rPr>
          <w:rFonts w:ascii="Arial" w:hAnsi="Arial"/>
          <w:caps/>
          <w:color w:val="000000"/>
          <w:sz w:val="22"/>
        </w:rPr>
        <w:t>4. IMPLEMENTATION CHECKLIST</w:t>
      </w:r>
    </w:p>
    <w:p>
      <w:pPr>
        <w:spacing w:after="80" w:line="80" w:lineRule="exact"/>
      </w:pPr>
    </w:p>
    <w:p>
      <w:r>
        <w:t>No specific implementation steps required.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left="0" w:firstLine="0"/>
    </w:pPr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basedOn w:val="Normal"/>
    <w:pPr>
      <w:spacing w:before="120" w:after="120"/>
      <w:jc w:val="left"/>
    </w:pPr>
    <w:rPr>
      <w:b/>
      <w:color w:val="505050"/>
    </w:rPr>
  </w:style>
  <w:style w:type="paragraph" w:customStyle="1" w:styleId="TableText">
    <w:name w:val="Table Text"/>
    <w:basedOn w:val="Normal"/>
    <w:pPr>
      <w:spacing w:before="80" w:after="80"/>
    </w:pPr>
    <w:rPr>
      <w:sz w:val="18"/>
    </w:rPr>
  </w:style>
  <w:style w:type="paragraph" w:customStyle="1" w:styleId="InsightTitle">
    <w:name w:val="Insight Title"/>
    <w:basedOn w:val="Normal"/>
    <w:pPr>
      <w:spacing w:before="120" w:after="40"/>
    </w:pPr>
    <w:rPr>
      <w:b/>
      <w:color w:val="1F4E79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