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Impact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3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Test API</w:t>
            </w:r>
          </w:p>
        </w:tc>
      </w:tr>
      <w:tr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3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rFonts w:ascii="Arial" w:hAnsi="Arial"/>
          <w:b/>
          <w:color w:val="505050"/>
          <w:sz w:val="22"/>
        </w:rPr>
        <w:t>MIGRATION IMPACT OVERVIEW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"/>
            <w:shd w:fill="721C24"/>
          </w:tcPr>
          <w:p/>
        </w:tc>
        <w:tc>
          <w:tcPr>
            <w:tcW w:type="dxa" w:w="9864"/>
            <w:shd w:fill="F8D7D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721C24"/>
                <w:sz w:val="20"/>
              </w:rPr>
              <w:t>Critical breaking changes detected:</w:t>
            </w:r>
            <w:r>
              <w:br/>
            </w:r>
            <w:r>
              <w:rPr>
                <w:color w:val="721C24"/>
                <w:sz w:val="20"/>
              </w:rPr>
              <w:t xml:space="preserve"> • 1 Property Removed</w:t>
            </w:r>
            <w:r>
              <w:br/>
            </w:r>
            <w:r>
              <w:br/>
            </w:r>
            <w:r>
              <w:rPr>
                <w:i/>
                <w:color w:val="721C24"/>
                <w:sz w:val="18"/>
              </w:rPr>
              <w:t>Backward compatibility is compromised. A migration plan is required.</w:t>
            </w:r>
          </w:p>
        </w:tc>
      </w:tr>
    </w:tbl>
    <w:p/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1. ENDPOINT IMPACT MATRIX</w:t>
      </w:r>
    </w:p>
    <w:p>
      <w:pPr>
        <w:spacing w:after="80" w:line="80" w:lineRule="exact"/>
      </w:pP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ENDPOINT RESOURCE</w:t>
            </w:r>
          </w:p>
        </w:tc>
        <w:tc>
          <w:tcPr>
            <w:tcW w:type="dxa" w:w="1152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METHOD</w:t>
            </w:r>
          </w:p>
        </w:tc>
        <w:tc>
          <w:tcPr>
            <w:tcW w:type="dxa" w:w="6336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DETAILED TECHNICAL IMPACT</w:t>
            </w:r>
          </w:p>
        </w:tc>
      </w:tr>
    </w:tbl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2. DETAILED SCHEMA ANALYSIS</w:t>
      </w:r>
    </w:p>
    <w:p>
      <w:pPr>
        <w:spacing w:after="80" w:line="80" w:lineRule="exact"/>
      </w:pP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SCHEMA</w:t>
            </w:r>
          </w:p>
        </w:tc>
        <w:tc>
          <w:tcPr>
            <w:tcW w:type="dxa" w:w="864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TYPE</w:t>
            </w:r>
          </w:p>
        </w:tc>
        <w:tc>
          <w:tcPr>
            <w:tcW w:type="dxa" w:w="504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CHANGE DETAILS</w:t>
            </w:r>
          </w:p>
        </w:tc>
        <w:tc>
          <w:tcPr>
            <w:tcW w:type="dxa" w:w="2016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AFFECTED ENDPOINTS</w:t>
            </w:r>
          </w:p>
        </w:tc>
      </w:tr>
      <w:tr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User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Object</w:t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rFonts w:ascii="Consolas" w:hAnsi="Consolas"/>
                <w:b/>
                <w:color w:val="FD7E14"/>
              </w:rPr>
              <w:t>~</w:t>
            </w:r>
            <w:r>
              <w:t xml:space="preserve"> username: Description changed</w:t>
              <w:br/>
            </w:r>
            <w:r>
              <w:rPr>
                <w:rFonts w:ascii="Consolas" w:hAnsi="Consolas"/>
                <w:b/>
                <w:color w:val="FD7E14"/>
              </w:rPr>
              <w:t>~</w:t>
            </w:r>
            <w:r>
              <w:t xml:space="preserve"> Description changed: </w:t>
            </w:r>
            <w:r>
              <w:t xml:space="preserve">This is a </w:t>
            </w:r>
            <w:r>
              <w:rPr>
                <w:highlight w:val="yellow"/>
              </w:rPr>
              <w:t>si</w:t>
            </w:r>
            <w:r>
              <w:t>mple</w:t>
            </w:r>
            <w:r>
              <w:t xml:space="preserve"> user </w:t>
            </w:r>
            <w:r>
              <w:rPr>
                <w:highlight w:val="red"/>
              </w:rPr>
              <w:t>obj</w:t>
            </w:r>
            <w:r>
              <w:t>e</w:t>
            </w:r>
            <w:r>
              <w:t>c</w:t>
            </w:r>
            <w:r>
              <w:rPr>
                <w:highlight w:val="red"/>
              </w:rPr>
              <w:t>t t</w:t>
            </w:r>
            <w:r>
              <w:t>h</w:t>
            </w:r>
            <w:r>
              <w:rPr>
                <w:highlight w:val="red"/>
              </w:rPr>
              <w:t>at</w:t>
            </w:r>
            <w:r>
              <w:t xml:space="preserve"> contains basic information about the </w:t>
            </w:r>
            <w:r>
              <w:t>user.</w:t>
            </w:r>
            <w:r>
              <w:t xml:space="preserve"> → </w:t>
            </w:r>
            <w:r>
              <w:t xml:space="preserve">This is a </w:t>
            </w:r>
            <w:r>
              <w:rPr>
                <w:highlight w:val="yellow"/>
              </w:rPr>
              <w:t>co</w:t>
            </w:r>
            <w:r>
              <w:t>mple</w:t>
            </w:r>
            <w:r>
              <w:rPr>
                <w:highlight w:val="green"/>
              </w:rPr>
              <w:t>x</w:t>
            </w:r>
            <w:r>
              <w:t xml:space="preserve"> user </w:t>
            </w:r>
            <w:r>
              <w:t>e</w:t>
            </w:r>
            <w:r>
              <w:rPr>
                <w:highlight w:val="green"/>
              </w:rPr>
              <w:t>ntity whi</w:t>
            </w:r>
            <w:r>
              <w:t>c</w:t>
            </w:r>
            <w:r>
              <w:t>h</w:t>
            </w:r>
            <w:r>
              <w:t xml:space="preserve"> contains basic information about the </w:t>
            </w:r>
            <w:r>
              <w:rPr>
                <w:highlight w:val="green"/>
              </w:rPr>
              <w:t xml:space="preserve">registered </w:t>
            </w:r>
            <w:r>
              <w:t>user.</w:t>
            </w:r>
            <w:r>
              <w:br/>
            </w:r>
          </w:p>
        </w:tc>
        <w:tc>
          <w:tcPr>
            <w:tcW w:type="dxa" w:w="252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</w:p>
          <w:p>
            <w:pPr>
              <w:pStyle w:val="TableText"/>
            </w:pPr>
            <w:r>
              <w:t>GET /user</w:t>
            </w:r>
          </w:p>
        </w:tc>
      </w:tr>
    </w:tbl>
    <w:p>
      <w:pPr>
        <w:spacing w:after="480"/>
      </w:pP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3. TECHNICAL DEEP DIVE</w:t>
      </w:r>
    </w:p>
    <w:p>
      <w:pPr>
        <w:spacing w:after="80" w:line="80" w:lineRule="exact"/>
      </w:pPr>
    </w:p>
    <w:p>
      <w:pPr>
        <w:pStyle w:val="InsightTitle"/>
      </w:pPr>
      <w:r>
        <w:t>3.1 Property Removed</w:t>
      </w:r>
    </w:p>
    <w:p>
      <w:pPr/>
      <w:r>
        <w:t>Properties have been removed from data schemas. Clients relying on these fields for business logic will break or receive incomplete data.</w:t>
      </w:r>
    </w:p>
    <w:p>
      <w:pPr>
        <w:spacing w:after="240"/>
        <w:ind w:left="360"/>
      </w:pPr>
      <w:r>
        <w:rPr>
          <w:i/>
          <w:color w:val="505050"/>
          <w:sz w:val="18"/>
        </w:rPr>
        <w:t>Affected Areas: Schema: User</w:t>
      </w:r>
    </w:p>
    <w:p>
      <w:pPr>
        <w:pStyle w:val="Heading1"/>
        <w:spacing w:before="480" w:after="240"/>
        <w:ind w:left="0"/>
        <w:pBdr>
          <w:left w:val="single" w:sz="24" w:space="12" w:color="4A90E2"/>
        </w:pBdr>
      </w:pPr>
      <w:r>
        <w:rPr>
          <w:rFonts w:ascii="Arial" w:hAnsi="Arial"/>
          <w:caps/>
          <w:color w:val="000000"/>
          <w:sz w:val="22"/>
        </w:rPr>
        <w:t>4. IMPLEMENTATION CHECKLIST</w:t>
      </w:r>
    </w:p>
    <w:p>
      <w:pPr>
        <w:spacing w:after="80" w:line="80" w:lineRule="exact"/>
      </w:pPr>
    </w:p>
    <w:p>
      <w:r>
        <w:t>No specific implementation steps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InsightTitle">
    <w:name w:val="Insight Title"/>
    <w:basedOn w:val="Normal"/>
    <w:pPr>
      <w:spacing w:before="120" w:after="40"/>
    </w:pPr>
    <w:rPr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