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Version 2.2</w:t>
      </w:r>
    </w:p>
    <w:p>
      <w:pPr>
        <w:pBdr>
          <w:bottom w:val="single" w:color="D9D9D9" w:sz="4" w:space="1"/>
        </w:pBdr>
        <w:spacing w:after="200"/>
      </w:pPr>
    </w:p>
    <w:p>
      <w:pPr>
        <w:spacing w:after="160" w:line="300"/>
        <w:jc w:val="left"/>
      </w:pPr>
      <w:r>
        <w:rPr>
          <w:b w:val="false"/>
          <w:bCs w:val="false"/>
          <w:i w:val="false"/>
          <w:iCs w:val="false"/>
          <w:color w:val="595959"/>
          <w:sz w:val="20"/>
          <w:szCs w:val="20"/>
        </w:rPr>
        <w:t>Stichting Voice Protest — Utrecht, the Netherlands — June 2026 · Revised July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 · Revised July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server-side HMAC hash — with, in the trusted-census mode only, a masked form of the address (for example j***@uu.nl) shown to vouchers, never the full address;</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When a participant grants GPS permission, coordinates are used solely to determine city and region for participation records. This geocoding is performed via the Nominatim service (OpenStreetMap), but the call is always routed through the Voice Protest backend server — never made directly from the participant's browser. Nominatim receives the server's IP address, not the participant's. Coordinates are discarded immediately after geocoding and are never stored in the database.</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spacing w:after="160" w:line="300"/>
        <w:jc w:val="left"/>
      </w:pPr>
      <w:r>
        <w:rPr>
          <w:b w:val="false"/>
          <w:bCs w:val="false"/>
          <w:i w:val="false"/>
          <w:iCs w:val="false"/>
          <w:color w:val="1A1A1A"/>
          <w:sz w:val="21"/>
          <w:szCs w:val="21"/>
        </w:rPr>
        <w:t xml:space="preserve">Pseudonymity rests on how identifiers are hashed. Every persistent identifier — the hash of a phone number and, for institutional participants, the hash of an email address — is computed on the server with a keyed HMAC-SHA256, never in the participant's browser. This matters because phone numbers and institutional emails are low-entropy, predictable values: a plain SHA-256 of either could be reversed with a rainbow table. The HMAC secret, held only on the server, makes that reversal infeasible. A browser cannot hold that secret, so identity hashing is performed exclusively server-side; the raw phone number or email reaches the backend only for one-time verification and is discarded immediately afterwards.</w:t>
      </w:r>
    </w:p>
    <w:p>
      <w:pPr>
        <w:spacing w:after="160" w:line="300"/>
        <w:jc w:val="left"/>
      </w:pPr>
      <w:r>
        <w:rPr>
          <w:b w:val="false"/>
          <w:bCs w:val="false"/>
          <w:i w:val="false"/>
          <w:iCs w:val="false"/>
          <w:color w:val="1A1A1A"/>
          <w:sz w:val="21"/>
          <w:szCs w:val="21"/>
        </w:rPr>
        <w:t xml:space="preserve">The trusted-census mode is a deliberate, disclosed exception to the strength of this pseudonymity. Vouching requires that existing members recognise a candidate, so the candidate's email is shown to vouchers in a masked form (for example j***@uu.nl); the full address is never persisted, but a member of the same institution may still be able to identify who is participating. Census-based participation therefore offers weaker pseudonymity than ordinary institutional or SMS participation — by design, because it adds a layer of social validation. This trade-off is inherent to peer vouching and is disclosed so that participants can choose accordingly.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Every event must declare one of the platform's accepted abuse types. The list is grounded in recognised public-integrity frameworks: the UN Convention against Corruption (corruption or embezzlement, trading in influence, illicit enrichment, public-procurement irregularities); the European Ombudsman's categories of maladministration and the right to good administration under Article 41 of the EU Charter (opacity or lack of accountability, denial of access to public information, unjustified delay, discrimination, serious negligence, failure to fulfil a legal obligation); and the ECHR and EU Charter (repression or censorship, violation of fundamental rights, excessive use of force, unlawful surveillance) — together with a residual ‘other public power abuse’. Arbitrary strings and null values are rejected. Broadening the list from the original seven categories to sixteen does not weaken the boundary between a public-abuse report and a petition: the recipient must still be a public institution (16.4), the source must still document the reported fact (16.2), and the demand must still be phrased as an action rather than a request (16.3).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are rejected at the API boundary by registrable domain — meaning all subdomains and associated shorteners are also blocked (for example, both change.org and its shortener chng.it, and any subdomain of avaaz.org).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check scans the event title, description and demands together — not only the demands field — so petition language cannot be hidden in other fields. Word-boundary matching is used to avoid false positives from substrings. A demand that contains both a prohibited verb and an action verb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The recipient must be a public institution with a public mandate or public funds. Political parties, private companies and private individuals are rejected. Critically, this validation is performed by the backend independently: when a Wikidata entity identifier is provided, the server queries Wikidata directly and computes the validation result itself, ignoring any validation status supplied by the client. Rather than matching the entity's declared type against a fixed list of identifiers, the check traverses the Wikidata subclass hierarchy — instance-of, then subclass-of applied transitively — against a small set of public-authority classes, so that any specific national institution type is recognised through its parent classes without a per-institution entry. An allowed public classification takes precedence over a rejected one: a public enterprise, which higher in the hierarchy is also a ‘business’, is therefore admitted, while a private company or a political party — which never reach an allowed public class — are rejected. Verdicts are cached. A direct API caller cannot bypass this rule by sending a forged validation status. If Wikidata is temporarily unavailable, the event is marked for manual review rather than automatically accepted.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four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line="320" w:lineRule="auto"/>
        <w:jc w:val="both"/>
      </w:pPr>
      <w:r>
        <w:rPr>
          <w:b/>
          <w:bCs/>
          <w:color w:val="1A1A1A"/>
          <w:sz w:val="30"/>
          <w:szCs w:val="30"/>
        </w:rPr>
        <w:t xml:space="preserve">20. Geographic Scopes and Local Participation</w:t>
      </w:r>
    </w:p>
    <w:p>
      <w:pPr>
        <w:spacing w:after="160" w:line="320" w:lineRule="auto"/>
        <w:jc w:val="both"/>
      </w:pPr>
      <w:r>
        <w:t xml:space="preserve">Voice Protest supports four geographic scopes, each with distinct eligibility signals, default duration, and report structure. The scope is declared by the event creator at creation time and determines how the platform classifies adhesions in the public report. A summary comparison of all scope types, including institutional variants, is published at voiceprotest.org and maintained as a reference document (tabla_tipos_convocatoria.html).</w:t>
      </w:r>
    </w:p>
    <w:p>
      <w:pPr>
        <w:pStyle w:val="Heading2"/>
        <w:spacing w:after="160" w:line="320" w:lineRule="auto"/>
      </w:pPr>
      <w:r>
        <w:t xml:space="preserve">20.1 — National</w:t>
      </w:r>
    </w:p>
    <w:p>
      <w:pPr>
        <w:spacing w:after="160" w:line="320" w:lineRule="auto"/>
        <w:jc w:val="both"/>
      </w:pPr>
      <w:r>
        <w:t xml:space="preserve">Eligibility: participants with a verified SIM from the declared country. Persons residing abroad who retain a national SIM remain eligible. Default duration: 36 hours, starting at 08:00 local time of the event creator, closing at 20:00 the following day to coincide with prime-time news coverage. Adhesions from abroad are shown transparently in the report.</w:t>
      </w:r>
    </w:p>
    <w:p>
      <w:pPr>
        <w:pStyle w:val="Heading2"/>
        <w:spacing w:after="160" w:line="320" w:lineRule="auto"/>
      </w:pPr>
      <w:r>
        <w:t xml:space="preserve">20.2 — Regional</w:t>
      </w:r>
    </w:p>
    <w:p>
      <w:pPr>
        <w:spacing w:after="160" w:line="320" w:lineRule="auto"/>
        <w:jc w:val="both"/>
      </w:pPr>
      <w:r>
        <w:t xml:space="preserve">Eligibility: same as National — a national SIM is required. The “regional” designation is a declaration by the creator that the event concerns a specific region, province or administrative subdivision, not a technical restriction. Default duration: 8 hours, starting at 08:00 local time, closing at 16:00 to coincide with afternoon news coverage. The public report shows the geographic distribution of adhesions.</w:t>
      </w:r>
    </w:p>
    <w:p>
      <w:pPr>
        <w:pStyle w:val="Heading2"/>
        <w:spacing w:after="160" w:line="320" w:lineRule="auto"/>
      </w:pPr>
      <w:r>
        <w:t xml:space="preserve">20.3 — Local (city/municipality)</w:t>
      </w:r>
    </w:p>
    <w:p>
      <w:pPr>
        <w:spacing w:after="160" w:line="320" w:lineRule="auto"/>
        <w:jc w:val="both"/>
      </w:pPr>
      <w:r>
        <w:t xml:space="preserve">The local scope is Voice Protest’s most geographically precise scope. The event creator selects a specific municipality via a Nominatim/OpenStreetMap search. The municipality is identified by its OSM relation ID (admin_level=8), not by a text string, eliminating name ambiguity across languages and dialects. This design is validated for all 27 EU member states, where admin_level=8 consistently identifies the municipal unit.</w:t>
      </w:r>
    </w:p>
    <w:p>
      <w:pPr>
        <w:spacing w:after="160" w:line="320" w:lineRule="auto"/>
        <w:jc w:val="both"/>
      </w:pPr>
      <w:r>
        <w:t xml:space="preserve">Eligibility: any participant with a verified phone number may adhere. GPS is not a participation requirement. However, GPS confirmation is used to classify adhesions in the public report into three tiers: (1) GPS confirmed within the declared municipality at the time of adhesion — the strongest local signal; (2) national participants without local GPS; (3) international participants. This three-tier breakdown is transparent in the public report and allows external observers to assess the geographic concentration of support independently.</w:t>
      </w:r>
    </w:p>
    <w:p>
      <w:pPr>
        <w:spacing w:after="160" w:line="320" w:lineRule="auto"/>
        <w:jc w:val="both"/>
      </w:pPr>
      <w:r>
        <w:t xml:space="preserve">Design rationale: Voice Protest does not exclude participants based on GPS location, because the platform verifies participation, not legitimacy. A resident of the municipality who is temporarily abroad retains the right to participate. GPS presence at the time of adhesion is a signal of local presence — not a criterion of legitimacy. The public report informs; it does not adjudicate.</w:t>
      </w:r>
    </w:p>
    <w:p>
      <w:pPr>
        <w:spacing w:after="160" w:line="320" w:lineRule="auto"/>
        <w:jc w:val="both"/>
      </w:pPr>
      <w:r>
        <w:t xml:space="preserve">Default duration: 8 hours, starting at 08:00 local time of the event creator, closing at 16:00. The event start date is set by the creator. Adhesions may be received before the event start date; the 8-hour window runs from the declared start time.</w:t>
      </w:r>
    </w:p>
    <w:p>
      <w:pPr>
        <w:pStyle w:val="Heading2"/>
        <w:spacing w:after="160" w:line="320" w:lineRule="auto"/>
      </w:pPr>
      <w:r>
        <w:t xml:space="preserve">20.4 — Global</w:t>
      </w:r>
    </w:p>
    <w:p>
      <w:pPr>
        <w:spacing w:after="160" w:line="320" w:lineRule="auto"/>
        <w:jc w:val="both"/>
      </w:pPr>
      <w:r>
        <w:t xml:space="preserve">Eligibility: any participant with a verified phone number, regardless of country. Default duration: 72 hours. The public report shows geographic distribution by country. No national SIM restriction applies.</w:t>
      </w:r>
    </w:p>
    <w:p>
      <w:pPr>
        <w:pStyle w:val="Heading2"/>
        <w:spacing w:after="160" w:line="320" w:lineRule="auto"/>
      </w:pPr>
      <w:r>
        <w:t xml:space="preserve">20.5 — Start time and push notifications</w:t>
      </w:r>
    </w:p>
    <w:p>
      <w:pPr>
        <w:spacing w:after="160" w:line="320" w:lineRule="auto"/>
        <w:jc w:val="both"/>
      </w:pPr>
      <w:r>
        <w:t xml:space="preserve">All event start times are encoded in the local timezone of the event creator’s device at creation time. This ensures that “08:00” means 08:00 in the creator’s city, not 08:00 UTC. Participants who opt in to push notifications receive three automated alerts: when the event starts, one hour before closure, and when the final result is published. The pre-closure alert (“last hour”) is suppressed for participants whose device timezone indicates nighttime hours (23:00–07:00 local time) at the moment of sending. The device timezone is stored as an IANA timezone string alongside the push subscription and is deleted when the subscription expires after event closure.</w:t>
      </w:r>
    </w:p>
    <w:p>
      <w:pPr>
        <w:pStyle w:val="Heading2"/>
        <w:spacing w:after="160" w:line="320" w:lineRule="auto"/>
      </w:pPr>
      <w:r>
        <w:t xml:space="preserve">20.6 — Institutional participation</w:t>
      </w:r>
    </w:p>
    <w:p>
      <w:pPr>
        <w:spacing w:after="160" w:line="320" w:lineRule="auto"/>
        <w:jc w:val="both"/>
      </w:pPr>
      <w:r>
        <w:t>Voice Protest distinguishes two participation models. The geographic scopes (20.1–20.4) verify a participant’s link to a territory through the SIM of the relevant country, optionally refined by GPS. The institutional model verifies a participant’s membership of a specific institution — a university, hospital, public body or public company — through an institutional email address on an approved domain. It exists in two forms: verification by institutional email domain alone, and verification by institutional email combined with a trusted census, in which members of a department or closed group vouch for one another. The institutional model is presented to event creators as a distinct participation type, not as a sub-option of the regional scope. Internally it reuses the regional scope’s data fields together with the institutional email domain, and, for the census form, the trusted-census flag; it introduces no separate geographic scope. Eligibility is established by institutional email membership, not by location. Institutional convocatorias declare the institution’s country — a mandatory field that records the institution’s seat so the convocatoria can be placed on the map and found through the platform’s country-first navigation. This country is a locator only: it does not affect who may participate, and it does not produce a geographic breakdown of participants in the public report. Reporting for institutional events remains by institution, not by territory.</w:t>
      </w:r>
    </w:p>
    <w:p>
      <w:pPr>
        <w:pStyle w:val="Heading2"/>
        <w:spacing w:after="160" w:line="320" w:lineRule="auto"/>
      </w:pPr>
      <w:r>
        <w:t xml:space="preserve">20.7 — Geographic confidence and the eligibility boundary</w:t>
      </w:r>
    </w:p>
    <w:p>
      <w:pPr>
        <w:spacing w:after="160" w:line="320" w:lineRule="auto"/>
        <w:jc w:val="both"/>
      </w:pPr>
      <w:r>
        <w:t xml:space="preserve">The platform maintains a strict separation between eligibility and geographic confidence. Eligibility is the question of whether a participant may join an event; for national events it is determined solely by the SIM country matching the event’s country, and for institutional events by membership of the approved email domain. Geographic confidence is a separate, informative measure of the quality and agreement of a participant’s location signals; it never determines eligibility and never blocks an adhesion. The confidence measure weights coinciding IP and GPS as the strongest indicator of physical presence, and treats timezone and language as auxiliary signals — they describe how a device is configured, not where its user is. A participant physically present in a country with a foreign-configured device is therefore not penalised. This separation protects legitimate participants — expatriates, exchange students, temporary residents — whose auxiliary signals may legitimately point to a country other than the one in which they are present.</w:t>
      </w:r>
    </w:p>
    <w:p>
      <w:pPr>
        <w:pStyle w:val="Heading2"/>
        <w:spacing w:after="160" w:line="320" w:lineRule="auto"/>
      </w:pPr>
      <w:r>
        <w:t xml:space="preserve">20.8 — Territorial verification (local_verified)</w:t>
      </w:r>
    </w:p>
    <w:p>
      <w:pPr>
        <w:spacing w:after="160" w:line="320" w:lineRule="auto"/>
        <w:jc w:val="both"/>
      </w:pPr>
      <w:r>
        <w:t xml:space="preserve">For local and regional events, the report distinguishes territorial verification — whether a participant’s GPS places them inside the event’s declared municipality or region — from the geographic confidence measure described in 20.7. Territorial verification is exposed as an explicit field (local_verified, accompanied by the scope of the match and its source) in both the adhesion record and the public report. This field answers only whether the participant is within the event’s territory; it is not a confidence percentage and must not be read as one. Consistent with the platform’s principle that it verifies participation rather than legitimacy, territorial verification classifies participants in the report but never excludes them: a participant outside the declared territory, or without GPS, is reported transparently in a separate tier rather than rejected.</w:t>
      </w:r>
    </w:p>
    <w:p>
      <w:pPr>
        <w:pStyle w:val="Heading1"/>
        <w:pBdr>
          <w:bottom w:val="single" w:color="1B7F4D" w:sz="6" w:space="4"/>
        </w:pBdr>
        <w:spacing w:after="200" w:before="400"/>
      </w:pPr>
      <w:r>
        <w:rPr>
          <w:b/>
          <w:bCs/>
          <w:color w:val="1A1A1A"/>
          <w:sz w:val="30"/>
          <w:szCs w:val="30"/>
        </w:rPr>
        <w:t xml:space="preserve">21. Evidence Quality and Evidential Scope</w:t>
      </w:r>
    </w:p>
    <w:p>
      <w:pPr>
        <w:spacing w:after="160" w:line="300"/>
        <w:jc w:val="left"/>
      </w:pPr>
      <w:r>
        <w:rPr>
          <w:b/>
          <w:bCs/>
          <w:color w:val="1A1A1A"/>
          <w:sz w:val="21"/>
          <w:szCs w:val="21"/>
        </w:rPr>
        <w:t xml:space="preserve">Evidence quality is not legitimacy. </w:t>
      </w:r>
      <w:r>
        <w:rPr>
          <w:b w:val="false"/>
          <w:bCs w:val="false"/>
          <w:i w:val="false"/>
          <w:iCs w:val="false"/>
          <w:color w:val="1A1A1A"/>
          <w:sz w:val="21"/>
          <w:szCs w:val="21"/>
        </w:rPr>
        <w:t xml:space="preserve">The platform classifies the strength of the available verification signals, never the worth of the participants. Three statements make this precise: it classifies verification signals, not participants; stronger evidence does not imply greater democratic legitimacy; and weaker evidence does not imply illegitimate participation. Evidence quality describes the confidence associated with available verification signals. It is not a measure of civic value, political legitimacy, or entitlement to participate.</w:t>
      </w:r>
    </w:p>
    <w:p>
      <w:pPr>
        <w:spacing w:after="160" w:line="300"/>
        <w:jc w:val="left"/>
      </w:pPr>
      <w:r>
        <w:rPr>
          <w:b/>
          <w:bCs/>
          <w:color w:val="1A1A1A"/>
          <w:sz w:val="21"/>
          <w:szCs w:val="21"/>
        </w:rPr>
        <w:t xml:space="preserve">The Statement of Evidential Scope. </w:t>
      </w:r>
      <w:r>
        <w:rPr>
          <w:b w:val="false"/>
          <w:bCs w:val="false"/>
          <w:i w:val="false"/>
          <w:iCs w:val="false"/>
          <w:color w:val="1A1A1A"/>
          <w:sz w:val="21"/>
          <w:szCs w:val="21"/>
        </w:rPr>
        <w:t xml:space="preserve">Every public report carries one: a structured declaration of what the report demonstrates, what lies outside its scope, and the verification methods used. It is generated deterministically from the report metadata and cannot be modified by the report creator. Like the integrity hash, the nullifiers and the public commitments, it is part of the evidence system rather than editorial text. It measures evidence of affiliation, never affiliation itself — affiliation is a social property, evidence of affiliation a methodological one, and Voice Protest is a methodological instrument.</w:t>
      </w:r>
    </w:p>
    <w:p>
      <w:pPr>
        <w:spacing w:after="160" w:line="300"/>
        <w:jc w:val="left"/>
      </w:pPr>
      <w:r>
        <w:rPr>
          <w:b/>
          <w:bCs/>
          <w:color w:val="1A1A1A"/>
          <w:sz w:val="21"/>
          <w:szCs w:val="21"/>
        </w:rPr>
        <w:t xml:space="preserve">The principle of explicit uncertainty. </w:t>
      </w:r>
      <w:r>
        <w:rPr>
          <w:b w:val="false"/>
          <w:bCs w:val="false"/>
          <w:i w:val="false"/>
          <w:iCs w:val="false"/>
          <w:color w:val="1A1A1A"/>
          <w:sz w:val="21"/>
          <w:szCs w:val="21"/>
        </w:rPr>
        <w:t xml:space="preserve">Voice Protest never replaces uncertainty with assumptions. Whenever a property cannot be demonstrated, the system states explicitly that it is unknown rather than implying certainty. It therefore does not assert that participants belong to the affected community, that the reported facts are true, that the result is representative of the whole population, that participants hold any particular legal identity, or that participation was free of fraud. For the same reason it does not claim that participation was free of coercion: remote, pseudonymous participation can make coercion less visible, not more. These limits are stated rather than hidden — making uncertainty visible and measurable is itself a result.</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Utrecht, the Netherlands · June 2026 · Revised July 2026</w:t>
      </w:r>
    </w:p>
    <w:p>
      <w:pPr>
        <w:jc w:val="center"/>
      </w:pPr>
      <w:r>
        <w:rPr>
          <w:color w:val="595959"/>
          <w:sz w:val="19"/>
          <w:szCs w:val="19"/>
        </w:rPr>
        <w:t xml:space="preserve">github.com/cero-absoluto/vozciudadana · AGPL 3.0</w:t>
      </w:r>
    </w:p>
    <w:p/>
    <w:p>
      <w:r>
        <w:t>――――――――――――――――――――――――――――――――――――――――</w:t>
      </w:r>
    </w:p>
    <w:p>
      <w:r>
        <w:rPr>
          <w:b/>
        </w:rPr>
        <w:t>Revision note — July 2026</w:t>
      </w:r>
    </w:p>
    <w:p>
      <w:r>
        <w:rPr>
          <w:b w:val="0"/>
        </w:rPr>
        <w:t>v2.2 corrects one factual inaccuracy present in v2.1: the description of integrity version 2 as currently available has been corrected to reflect that it is planned but not yet implemented. The reliability score formula (§4.1 of the Methodology) has been formalised in the companion Methodology document v1.0. No other substantive changes.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2026-06-21T11:05:22.832Z</dcterms:created>
  <dcterms:modified xsi:type="dcterms:W3CDTF">2026-06-21T11:05:22.845Z</dcterms:modified>
</cp:coreProperties>
</file>

<file path=docProps/custom.xml><?xml version="1.0" encoding="utf-8"?>
<Properties xmlns="http://schemas.openxmlformats.org/officeDocument/2006/custom-properties" xmlns:vt="http://schemas.openxmlformats.org/officeDocument/2006/docPropsVTypes"/>
</file>