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hash;</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val="false"/>
          <w:iCs w:val="false"/>
          <w:color w:val="1A1A1A"/>
          <w:sz w:val="21"/>
          <w:szCs w:val="21"/>
        </w:rPr>
        <w:t xml:space="preserve">Donations made from a specific event's screen are automatically assigned to that event's verification balance. Donations made directly through Ko-fi without a reference to a specific event are credited to the platform sustainability fund. This distinction is relevant to donors who expect their contribution to reach a particular protest: the link must be followed from that protest's detail screen, not from the general Ko-fi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40"/>
              <w:bottom w:type="dxa" w:w="160"/>
              <w:right w:type="dxa" w:w="240"/>
            </w:tcMar>
          </w:tcPr>
          <w:p>
            <w:pPr>
              <w:spacing w:after="80"/>
            </w:pPr>
            <w:r>
              <w:rPr>
                <w:b/>
                <w:bCs/>
                <w:caps/>
                <w:color w:val="1B7F4D"/>
                <w:sz w:val="19"/>
                <w:szCs w:val="19"/>
              </w:rPr>
              <w:t xml:space="preserve">Donation routing rule</w:t>
            </w:r>
          </w:p>
          <w:p>
            <w:pPr>
              <w:spacing w:after="60"/>
            </w:pPr>
            <w:r>
              <w:rPr>
                <w:color w:val="1A1A1A"/>
                <w:sz w:val="20"/>
                <w:szCs w:val="20"/>
              </w:rPr>
              <w:t xml:space="preserve">Donation linked to a protest → credited to that protest’s verification balance</w:t>
            </w:r>
          </w:p>
          <w:p>
            <w:r>
              <w:rPr>
                <w:color w:val="1A1A1A"/>
                <w:sz w:val="20"/>
                <w:szCs w:val="20"/>
              </w:rPr>
              <w:t xml:space="preserve">Donation without protest reference → credited to platform sustainability fund</w:t>
            </w:r>
          </w:p>
        </w:tc>
      </w:tr>
    </w:tbl>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17.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before="400"/>
      </w:pPr>
      <w:r>
        <w:rPr>
          <w:b/>
          <w:bCs/>
          <w:color w:val="1A1A1A"/>
          <w:sz w:val="30"/>
          <w:szCs w:val="30"/>
        </w:rPr>
        <w:t xml:space="preserve">18.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2026-06-21T04:30:44.649Z</dcterms:created>
  <dcterms:modified xsi:type="dcterms:W3CDTF">2026-06-21T04:30:44.661Z</dcterms:modified>
</cp:coreProperties>
</file>

<file path=docProps/custom.xml><?xml version="1.0" encoding="utf-8"?>
<Properties xmlns="http://schemas.openxmlformats.org/officeDocument/2006/custom-properties" xmlns:vt="http://schemas.openxmlformats.org/officeDocument/2006/docPropsVTypes"/>
</file>