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000"/>
      </w:pPr>
    </w:p>
    <w:p>
      <w:pPr>
        <w:spacing w:after="100"/>
      </w:pPr>
      <w:r>
        <w:rPr>
          <w:b/>
          <w:bCs/>
          <w:caps/>
          <w:color w:val="1B7F4D"/>
          <w:sz w:val="20"/>
          <w:szCs w:val="20"/>
        </w:rPr>
        <w:t xml:space="preserve">CANONICAL REFERENCE</w:t>
      </w:r>
    </w:p>
    <w:p>
      <w:pPr>
        <w:spacing w:after="60"/>
      </w:pPr>
      <w:r>
        <w:rPr>
          <w:b/>
          <w:bCs/>
          <w:color w:val="1A1A1A"/>
          <w:sz w:val="40"/>
          <w:szCs w:val="40"/>
        </w:rPr>
        <w:t xml:space="preserve">Voice Protest</w:t>
      </w:r>
    </w:p>
    <w:p>
      <w:pPr>
        <w:spacing w:after="200"/>
      </w:pPr>
      <w:r>
        <w:rPr>
          <w:b/>
          <w:bCs/>
          <w:color w:val="1A1A1A"/>
          <w:sz w:val="28"/>
          <w:szCs w:val="28"/>
        </w:rPr>
        <w:t xml:space="preserve">Audit Alignment, Threat Model and Participation Framework</w:t>
      </w:r>
    </w:p>
    <w:p>
      <w:pPr>
        <w:spacing w:after="500"/>
      </w:pPr>
      <w:r>
        <w:rPr>
          <w:color w:val="595959"/>
          <w:sz w:val="21"/>
          <w:szCs w:val="21"/>
        </w:rPr>
        <w:t xml:space="preserve">Version 2.1 · Stichting Voice Protest · Utrecht, the Netherlands · June 2026</w:t>
      </w:r>
    </w:p>
    <w:p>
      <w:pPr>
        <w:pBdr>
          <w:bottom w:val="single" w:color="D9D9D9" w:sz="4" w:space="1"/>
        </w:pBdr>
        <w:spacing w:after="180"/>
      </w:pPr>
    </w:p>
    <w:p>
      <w:pPr>
        <w:spacing w:after="140" w:line="290"/>
        <w:jc w:val="left"/>
      </w:pPr>
      <w:r>
        <w:rPr>
          <w:b w:val="false"/>
          <w:bCs w:val="false"/>
          <w:i w:val="false"/>
          <w:iCs w:val="false"/>
          <w:color w:val="1A1A1A"/>
          <w:sz w:val="20"/>
          <w:szCs w:val="20"/>
        </w:rPr>
        <w:t xml:space="preserve">This document defines what Voice Protest is, what it is not, what it measures, what it does not measure, what it stores, what it does not store, its threat model, and the limits of what it can credibly claim.</w:t>
      </w:r>
    </w:p>
    <w:p>
      <w:pPr>
        <w:spacing w:after="140" w:line="290"/>
        <w:jc w:val="left"/>
      </w:pPr>
      <w:r>
        <w:rPr>
          <w:b w:val="false"/>
          <w:bCs w:val="false"/>
          <w:i w:val="false"/>
          <w:iCs w:val="false"/>
          <w:color w:val="1A1A1A"/>
          <w:sz w:val="20"/>
          <w:szCs w:val="20"/>
        </w:rPr>
        <w:t xml:space="preserve">This is the canonical description of the platform. It supersedes all earlier drafts of this framework (v2.0 and the original “Attack Vectors &amp; Responses” document) and has been verified line by line against four master references: the public README, the Privacy Policy, the Funding &amp; Independence Policy, and the audited foundational document (“Fundamentos, diseño y documentación”, June 2026).</w:t>
      </w:r>
    </w:p>
    <w:p>
      <w:pPr>
        <w:spacing w:after="140" w:line="290"/>
        <w:jc w:val="left"/>
      </w:pPr>
      <w:r>
        <w:rPr>
          <w:b w:val="false"/>
          <w:bCs w:val="false"/>
          <w:i w:val="false"/>
          <w:iCs w:val="false"/>
          <w:color w:val="1A1A1A"/>
          <w:sz w:val="20"/>
          <w:szCs w:val="20"/>
        </w:rPr>
        <w:t xml:space="preserve">This document does not claim perfection. It claims only that every statement in it is demonstrably consistent with the deployed system as of the date above.</w:t>
      </w:r>
    </w:p>
    <w:p>
      <w:r>
        <w:br w:type="page"/>
      </w:r>
    </w:p>
    <w:p>
      <w:pPr>
        <w:pStyle w:val="Heading1"/>
        <w:pBdr>
          <w:bottom w:val="single" w:color="1B7F4D" w:sz="6" w:space="4"/>
        </w:pBdr>
        <w:spacing w:after="180" w:before="360"/>
      </w:pPr>
      <w:r>
        <w:rPr>
          <w:b/>
          <w:bCs/>
          <w:color w:val="1A1A1A"/>
          <w:sz w:val="28"/>
          <w:szCs w:val="28"/>
        </w:rPr>
        <w:t xml:space="preserve">1. Foundational principle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9D9D9" w:sz="2"/>
              <w:left w:val="single" w:color="D9D9D9" w:sz="2"/>
              <w:bottom w:val="single" w:color="D9D9D9" w:sz="2"/>
              <w:right w:val="single" w:color="D9D9D9" w:sz="2"/>
            </w:tcBorders>
            <w:shd w:fill="F2F2F2" w:val="clear"/>
            <w:tcMar>
              <w:top w:type="dxa" w:w="180"/>
              <w:left w:type="dxa" w:w="220"/>
              <w:bottom w:type="dxa" w:w="180"/>
              <w:right w:type="dxa" w:w="220"/>
            </w:tcMar>
          </w:tcPr>
          <w:p>
            <w:pPr>
              <w:spacing w:after="100"/>
            </w:pPr>
            <w:r>
              <w:rPr>
                <w:b/>
                <w:bCs/>
                <w:i/>
                <w:iCs/>
                <w:color w:val="1A1A1A"/>
                <w:sz w:val="24"/>
                <w:szCs w:val="24"/>
              </w:rPr>
              <w:t xml:space="preserve">Voice Protest verifies participation, not truth.</w:t>
            </w:r>
          </w:p>
          <w:p>
            <w:r>
              <w:rPr>
                <w:color w:val="595959"/>
                <w:sz w:val="20"/>
                <w:szCs w:val="20"/>
              </w:rPr>
              <w:t xml:space="preserve">The platform verifies that a participation event occurred under its verification rules. It does not verify whether a claim is true, whether a grievance is justified, whether a demand is reasonable, or whether an institution acted correctly.</w:t>
            </w:r>
          </w:p>
        </w:tc>
      </w:tr>
    </w:tbl>
    <w:p>
      <w:pPr>
        <w:spacing w:after="160"/>
      </w:pPr>
    </w:p>
    <w:p>
      <w:pPr>
        <w:spacing w:after="140" w:line="290"/>
        <w:jc w:val="left"/>
      </w:pPr>
      <w:r>
        <w:rPr>
          <w:b w:val="false"/>
          <w:bCs w:val="false"/>
          <w:i w:val="false"/>
          <w:iCs w:val="false"/>
          <w:color w:val="1A1A1A"/>
          <w:sz w:val="20"/>
          <w:szCs w:val="20"/>
        </w:rPr>
        <w:t xml:space="preserve">Those questions belong to public debate, journalism, academia, courts and democratic institutions. Voice Protest verifies participation only. If the platform assumed the role of determining the truth of each grievance, it would acquire editorial power over which protests are legitimate — introducing bias, capture incentives, and controversy that would distort its purpose.</w:t>
      </w:r>
    </w:p>
    <w:p>
      <w:pPr>
        <w:pStyle w:val="Heading1"/>
        <w:pBdr>
          <w:bottom w:val="single" w:color="1B7F4D" w:sz="6" w:space="4"/>
        </w:pBdr>
        <w:spacing w:after="180" w:before="360"/>
      </w:pPr>
      <w:r>
        <w:rPr>
          <w:b/>
          <w:bCs/>
          <w:color w:val="1A1A1A"/>
          <w:sz w:val="28"/>
          <w:szCs w:val="28"/>
        </w:rPr>
        <w:t xml:space="preserve">2. What Voice Protest measures</w:t>
      </w:r>
    </w:p>
    <w:p>
      <w:pPr>
        <w:spacing w:after="140" w:line="290"/>
        <w:jc w:val="left"/>
      </w:pPr>
      <w:r>
        <w:rPr>
          <w:b w:val="false"/>
          <w:bCs w:val="false"/>
          <w:i w:val="false"/>
          <w:iCs w:val="false"/>
          <w:color w:val="1A1A1A"/>
          <w:sz w:val="20"/>
          <w:szCs w:val="20"/>
        </w:rPr>
        <w:t xml:space="preserve">Voice Protest measures verified participation, participation growth, participation distribution, and participation reliability signals. The platform records that a participant successfully completed the verification process associated with a protest. Nothing more.</w:t>
      </w:r>
    </w:p>
    <w:p>
      <w:pPr>
        <w:pStyle w:val="Heading1"/>
        <w:pBdr>
          <w:bottom w:val="single" w:color="1B7F4D" w:sz="6" w:space="4"/>
        </w:pBdr>
        <w:spacing w:after="180" w:before="360"/>
      </w:pPr>
      <w:r>
        <w:rPr>
          <w:b/>
          <w:bCs/>
          <w:color w:val="1A1A1A"/>
          <w:sz w:val="28"/>
          <w:szCs w:val="28"/>
        </w:rPr>
        <w:t xml:space="preserve">3. What Voice Protest does not measure</w:t>
      </w:r>
    </w:p>
    <w:p>
      <w:pPr>
        <w:spacing w:after="140" w:line="290"/>
        <w:jc w:val="left"/>
      </w:pPr>
      <w:r>
        <w:rPr>
          <w:b w:val="false"/>
          <w:bCs w:val="false"/>
          <w:i w:val="false"/>
          <w:iCs w:val="false"/>
          <w:color w:val="1A1A1A"/>
          <w:sz w:val="20"/>
          <w:szCs w:val="20"/>
        </w:rPr>
        <w:t xml:space="preserve">Voice Protest does not measure public opinion, electoral preference, political or institutional legitimacy, objective truth, silent support, silent opposition, or social consensus.</w:t>
      </w:r>
    </w:p>
    <w:p>
      <w:pPr>
        <w:spacing w:after="140" w:line="290"/>
        <w:jc w:val="left"/>
      </w:pPr>
      <w:r>
        <w:rPr>
          <w:b w:val="false"/>
          <w:bCs w:val="false"/>
          <w:i w:val="false"/>
          <w:iCs w:val="false"/>
          <w:color w:val="1A1A1A"/>
          <w:sz w:val="20"/>
          <w:szCs w:val="20"/>
        </w:rPr>
        <w:t xml:space="preserve">It does not measure the total number of people who share a grievance — there may be many more who never heard of the protest, chose not to participate, or could not participate due to technical or access limitations. It does not measure the intensity of disagreement, and it does not measure whether the underlying facts denounced are true: the number of adhesions is not evidence that an abuse occurred — it is evidence that that number of verified people formally denounce it.</w:t>
      </w:r>
    </w:p>
    <w:p>
      <w:pPr>
        <w:spacing w:after="140" w:line="290"/>
        <w:jc w:val="left"/>
      </w:pPr>
      <w:r>
        <w:rPr>
          <w:b w:val="false"/>
          <w:bCs w:val="false"/>
          <w:i w:val="false"/>
          <w:iCs w:val="false"/>
          <w:color w:val="1A1A1A"/>
          <w:sz w:val="20"/>
          <w:szCs w:val="20"/>
        </w:rPr>
        <w:t xml:space="preserve">Any interpretation beyond verified participation belongs to external observers, not to Voice Protest itself.</w:t>
      </w:r>
    </w:p>
    <w:p>
      <w:pPr>
        <w:pStyle w:val="Heading1"/>
        <w:pBdr>
          <w:bottom w:val="single" w:color="1B7F4D" w:sz="6" w:space="4"/>
        </w:pBdr>
        <w:spacing w:after="180" w:before="360"/>
      </w:pPr>
      <w:r>
        <w:rPr>
          <w:b/>
          <w:bCs/>
          <w:color w:val="1A1A1A"/>
          <w:sz w:val="28"/>
          <w:szCs w:val="28"/>
        </w:rPr>
        <w:t xml:space="preserve">4. Scope of measurement</w:t>
      </w:r>
    </w:p>
    <w:p>
      <w:pPr>
        <w:spacing w:after="140" w:line="290"/>
        <w:jc w:val="left"/>
      </w:pPr>
      <w:r>
        <w:rPr>
          <w:b w:val="false"/>
          <w:bCs w:val="false"/>
          <w:i w:val="false"/>
          <w:iCs w:val="false"/>
          <w:color w:val="1A1A1A"/>
          <w:sz w:val="20"/>
          <w:szCs w:val="20"/>
        </w:rPr>
        <w:t xml:space="preserve">Voice Protest does not measure society. It measures verified participation among people who voluntarily choose to participate.</w:t>
      </w:r>
    </w:p>
    <w:p>
      <w:pPr>
        <w:spacing w:after="140" w:line="290"/>
        <w:jc w:val="left"/>
      </w:pPr>
      <w:r>
        <w:rPr>
          <w:b w:val="false"/>
          <w:bCs w:val="false"/>
          <w:i w:val="false"/>
          <w:iCs w:val="false"/>
          <w:color w:val="1A1A1A"/>
          <w:sz w:val="20"/>
          <w:szCs w:val="20"/>
        </w:rPr>
        <w:t xml:space="preserve">This limitation is explicit and applies equally to demonstrations, petitions, surveys, referenda and most other instruments of civic participation. No participation tool fully resolves the problem of representativeness: a demonstration does not necessarily represent the whole population; a survey depends on its sample; a digital petition can reflect either genuine mobilisation or distribution capacity. Voice Protest does not claim to speak on behalf of all citizens, nor to represent non-participants.</w:t>
      </w:r>
    </w:p>
    <w:p>
      <w:pPr>
        <w:pStyle w:val="Heading1"/>
        <w:pBdr>
          <w:bottom w:val="single" w:color="1B7F4D" w:sz="6" w:space="4"/>
        </w:pBdr>
        <w:spacing w:after="180" w:before="360"/>
      </w:pPr>
      <w:r>
        <w:rPr>
          <w:b/>
          <w:bCs/>
          <w:color w:val="1A1A1A"/>
          <w:sz w:val="28"/>
          <w:szCs w:val="28"/>
        </w:rPr>
        <w:t xml:space="preserve">5. Participation, not citizenship</w:t>
      </w:r>
    </w:p>
    <w:p>
      <w:pPr>
        <w:spacing w:after="140" w:line="290"/>
        <w:jc w:val="left"/>
      </w:pPr>
      <w:r>
        <w:rPr>
          <w:b w:val="false"/>
          <w:bCs w:val="false"/>
          <w:i w:val="false"/>
          <w:iCs w:val="false"/>
          <w:color w:val="1A1A1A"/>
          <w:sz w:val="20"/>
          <w:szCs w:val="20"/>
        </w:rPr>
        <w:t xml:space="preserve">Voice Protest verifies practical signals of community affiliation — such as phone country prefix or institutional email domain — without converting them into a full verification of legal citizenship or civil identity. This is a deliberate design decision, balancing rigor, accessibility and data minimisation.</w:t>
      </w:r>
    </w:p>
    <w:p>
      <w:pPr>
        <w:spacing w:after="140" w:line="290"/>
        <w:jc w:val="left"/>
      </w:pPr>
      <w:r>
        <w:rPr>
          <w:b w:val="false"/>
          <w:bCs w:val="false"/>
          <w:i w:val="false"/>
          <w:iCs w:val="false"/>
          <w:color w:val="1A1A1A"/>
          <w:sz w:val="20"/>
          <w:szCs w:val="20"/>
        </w:rPr>
        <w:t xml:space="preserve">This has direct terminological consequences. The platform's own audited documentation is explicit on this point: when describing verified participants, the precise wording must be used and must not drift toward legal or civic claims the system cannot support.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9D9D9" w:sz="2"/>
              <w:left w:val="single" w:color="D9D9D9" w:sz="2"/>
              <w:bottom w:val="single" w:color="D9D9D9" w:sz="2"/>
              <w:right w:val="single" w:color="D9D9D9" w:sz="2"/>
            </w:tcBorders>
            <w:shd w:fill="F2F2F2" w:val="clear"/>
            <w:tcMar>
              <w:top w:type="dxa" w:w="180"/>
              <w:left w:type="dxa" w:w="220"/>
              <w:bottom w:type="dxa" w:w="180"/>
              <w:right w:type="dxa" w:w="220"/>
            </w:tcMar>
          </w:tcPr>
          <w:p>
            <w:pPr>
              <w:spacing w:after="80"/>
            </w:pPr>
            <w:r>
              <w:rPr>
                <w:b/>
                <w:bCs/>
                <w:caps/>
                <w:color w:val="1B7F4D"/>
                <w:sz w:val="18"/>
                <w:szCs w:val="18"/>
              </w:rPr>
              <w:t xml:space="preserve">Required wording</w:t>
            </w:r>
          </w:p>
          <w:p>
            <w:pPr>
              <w:spacing w:after="80"/>
            </w:pPr>
            <w:r>
              <w:rPr>
                <w:color w:val="1A1A1A"/>
                <w:sz w:val="20"/>
                <w:szCs w:val="20"/>
              </w:rPr>
              <w:t xml:space="preserve">“verified participants,” not “citizens” — the platform verifies SIM prefix or institutional email, not legal citizenship or civil registry status.</w:t>
            </w:r>
          </w:p>
          <w:p>
            <w:pPr>
              <w:spacing w:after="80"/>
            </w:pPr>
            <w:r>
              <w:rPr>
                <w:color w:val="1A1A1A"/>
                <w:sz w:val="20"/>
                <w:szCs w:val="20"/>
              </w:rPr>
              <w:t xml:space="preserve">“participants linked to the relevant community” or “nationally affiliated participants,” not “national citizens.”</w:t>
            </w:r>
          </w:p>
          <w:p>
            <w:r>
              <w:rPr>
                <w:color w:val="595959"/>
                <w:sz w:val="19"/>
                <w:szCs w:val="19"/>
              </w:rPr>
              <w:t xml:space="preserve">A national resident abroad with a foreign number falls outside the verified scope; a temporary resident with a local number falls inside it. SIM prefix is the eligibility criterion — not residency, not citizenship.</w:t>
            </w:r>
          </w:p>
        </w:tc>
      </w:tr>
    </w:tbl>
    <w:p>
      <w:pPr>
        <w:pStyle w:val="Heading1"/>
        <w:pBdr>
          <w:bottom w:val="single" w:color="1B7F4D" w:sz="6" w:space="4"/>
        </w:pBdr>
        <w:spacing w:after="180" w:before="360"/>
      </w:pPr>
      <w:r>
        <w:rPr>
          <w:b/>
          <w:bCs/>
          <w:color w:val="1A1A1A"/>
          <w:sz w:val="28"/>
          <w:szCs w:val="28"/>
        </w:rPr>
        <w:t xml:space="preserve">6. Participation, identity and privacy</w:t>
      </w:r>
    </w:p>
    <w:p>
      <w:pPr>
        <w:spacing w:after="140" w:line="290"/>
        <w:jc w:val="left"/>
      </w:pPr>
      <w:r>
        <w:rPr>
          <w:b w:val="false"/>
          <w:bCs w:val="false"/>
          <w:i w:val="false"/>
          <w:iCs w:val="false"/>
          <w:color w:val="1A1A1A"/>
          <w:sz w:val="20"/>
          <w:szCs w:val="20"/>
        </w:rPr>
        <w:t xml:space="preserve">Voice Protest uses phone verification to establish uniqueness. A phone number is required to receive an SMS verification code. The original phone number is transmitted over HTTPS solely to send that code and to extract the country prefix for geographic eligibility; it is not retained by Voice Protest after verification. The platform stores instead an HMAC-SHA256 pseudonymous identifier derived from the number, together with a nullifier (a hash of the identifier and the protest ID) used to prevent duplicate adhesions.</w:t>
      </w:r>
    </w:p>
    <w:p>
      <w:pPr>
        <w:spacing w:after="140" w:line="290"/>
        <w:jc w:val="left"/>
      </w:pPr>
      <w:r>
        <w:rPr>
          <w:b w:val="false"/>
          <w:bCs w:val="false"/>
          <w:i w:val="false"/>
          <w:iCs w:val="false"/>
          <w:color w:val="1A1A1A"/>
          <w:sz w:val="20"/>
          <w:szCs w:val="20"/>
        </w:rPr>
        <w:t xml:space="preserve">Voice Protest does not store: phone numbers in original form; exact GPS coordinates; names, addresses or email addresses (except where an institutional email is explicitly required for institutional verification, and even then only as an irreversible hash); or any other direct personal identifier.</w:t>
      </w:r>
    </w:p>
    <w:p>
      <w:pPr>
        <w:pStyle w:val="Heading1"/>
        <w:pBdr>
          <w:bottom w:val="single" w:color="1B7F4D" w:sz="6" w:space="4"/>
        </w:pBdr>
        <w:spacing w:after="180" w:before="360"/>
      </w:pPr>
      <w:r>
        <w:rPr>
          <w:b/>
          <w:bCs/>
          <w:color w:val="1A1A1A"/>
          <w:sz w:val="28"/>
          <w:szCs w:val="28"/>
        </w:rPr>
        <w:t xml:space="preserve">7. Pseudonymity and its limits</w:t>
      </w:r>
    </w:p>
    <w:p>
      <w:pPr>
        <w:spacing w:after="140" w:line="290"/>
        <w:jc w:val="left"/>
      </w:pPr>
      <w:r>
        <w:rPr>
          <w:b w:val="false"/>
          <w:bCs w:val="false"/>
          <w:i w:val="false"/>
          <w:iCs w:val="false"/>
          <w:color w:val="1A1A1A"/>
          <w:sz w:val="20"/>
          <w:szCs w:val="20"/>
        </w:rPr>
        <w:t xml:space="preserve">Voice Protest provides pseudonymity, not absolute anonymity. This distinction matters and is disclosed publicly rather than implied away.</w:t>
      </w:r>
    </w:p>
    <w:p>
      <w:pPr>
        <w:spacing w:after="140" w:line="290"/>
        <w:jc w:val="left"/>
      </w:pPr>
      <w:r>
        <w:rPr>
          <w:b w:val="false"/>
          <w:bCs w:val="false"/>
          <w:i w:val="false"/>
          <w:iCs w:val="false"/>
          <w:color w:val="1A1A1A"/>
          <w:sz w:val="20"/>
          <w:szCs w:val="20"/>
        </w:rPr>
        <w:t xml:space="preserve">SMS delivery requires an external infrastructure provider (Twilio) to process the original phone number as part of sending the verification code; that provider's own logs and legal obligations are outside Voice Protest's control and are described in the public privacy policy. Voice Protest itself does not know participant identities after verification completes. The platform does not claim to provide perfect anonymity — it claims to provide the strongest practical privacy protection compatible with verified, one-person-one-adhesion participation.</w:t>
      </w:r>
    </w:p>
    <w:p>
      <w:pPr>
        <w:pStyle w:val="Heading1"/>
        <w:pBdr>
          <w:bottom w:val="single" w:color="1B7F4D" w:sz="6" w:space="4"/>
        </w:pBdr>
        <w:spacing w:after="180" w:before="360"/>
      </w:pPr>
      <w:r>
        <w:rPr>
          <w:b/>
          <w:bCs/>
          <w:color w:val="1A1A1A"/>
          <w:sz w:val="28"/>
          <w:szCs w:val="28"/>
        </w:rPr>
        <w:t xml:space="preserve">8. Permanent records</w:t>
      </w:r>
    </w:p>
    <w:p>
      <w:pPr>
        <w:spacing w:after="140" w:line="290"/>
        <w:jc w:val="left"/>
      </w:pPr>
      <w:r>
        <w:rPr>
          <w:b w:val="false"/>
          <w:bCs w:val="false"/>
          <w:i w:val="false"/>
          <w:iCs w:val="false"/>
          <w:color w:val="1A1A1A"/>
          <w:sz w:val="20"/>
          <w:szCs w:val="20"/>
        </w:rPr>
        <w:t xml:space="preserve">Voice Protest preserves, permanently and publicly: protest reports, integrity commitments (SHA-256 hashes of protest ID plus nullifier), and aggregated integrity hashes anchored in the public integrity log.</w:t>
      </w:r>
    </w:p>
    <w:p>
      <w:pPr>
        <w:spacing w:after="140" w:line="290"/>
        <w:jc w:val="left"/>
      </w:pPr>
      <w:r>
        <w:rPr>
          <w:b w:val="false"/>
          <w:bCs w:val="false"/>
          <w:i w:val="false"/>
          <w:iCs w:val="false"/>
          <w:color w:val="1A1A1A"/>
          <w:sz w:val="20"/>
          <w:szCs w:val="20"/>
        </w:rPr>
        <w:t xml:space="preserve">Voice Protest does not preserve participant identities, original phone numbers, exact locations, or any direct personal identifier. Individual adhesion data — the hashed phone number, approximate city and region, and reliability score — is soft-deleted 90 days after a protest closes. The public report itself is never deleted: it contains only statistical aggregates and no personal data of any kind, and no individual adhesion can be traced from it.</w:t>
      </w:r>
    </w:p>
    <w:p>
      <w:pPr>
        <w:spacing w:after="140" w:line="290"/>
        <w:jc w:val="left"/>
      </w:pPr>
      <w:r>
        <w:rPr>
          <w:b w:val="false"/>
          <w:bCs w:val="false"/>
          <w:i/>
          <w:iCs/>
          <w:color w:val="595959"/>
          <w:sz w:val="20"/>
          <w:szCs w:val="20"/>
        </w:rPr>
        <w:t xml:space="preserve">The system is intentionally designed to preserve evidence that participation occurred while avoiding preservation of participant identity.</w:t>
      </w:r>
    </w:p>
    <w:p>
      <w:pPr>
        <w:pStyle w:val="Heading1"/>
        <w:pBdr>
          <w:bottom w:val="single" w:color="1B7F4D" w:sz="6" w:space="4"/>
        </w:pBdr>
        <w:spacing w:after="180" w:before="360"/>
      </w:pPr>
      <w:r>
        <w:rPr>
          <w:b/>
          <w:bCs/>
          <w:color w:val="1A1A1A"/>
          <w:sz w:val="28"/>
          <w:szCs w:val="28"/>
        </w:rPr>
        <w:t xml:space="preserve">9. Representativeness</w:t>
      </w:r>
    </w:p>
    <w:p>
      <w:pPr>
        <w:spacing w:after="140" w:line="290"/>
        <w:jc w:val="left"/>
      </w:pPr>
      <w:r>
        <w:rPr>
          <w:b w:val="false"/>
          <w:bCs w:val="false"/>
          <w:i w:val="false"/>
          <w:iCs w:val="false"/>
          <w:color w:val="1A1A1A"/>
          <w:sz w:val="20"/>
          <w:szCs w:val="20"/>
        </w:rPr>
        <w:t xml:space="preserve">Voice Protest is not a referendum. Referenda are designed to measure the preferences of an entire eligible population. Voice Protest measures verified participation among individuals who voluntarily choose to express support for a specific grievance or demand. The two instruments serve different purposes, and a protest with a thousand verified participants does not imply that the remaining population agrees, disagrees, or is indifferent.</w:t>
      </w:r>
    </w:p>
    <w:p>
      <w:pPr>
        <w:spacing w:after="140" w:line="290"/>
        <w:jc w:val="left"/>
      </w:pPr>
      <w:r>
        <w:rPr>
          <w:b w:val="false"/>
          <w:bCs w:val="false"/>
          <w:i w:val="false"/>
          <w:iCs w:val="false"/>
          <w:color w:val="1A1A1A"/>
          <w:sz w:val="20"/>
          <w:szCs w:val="20"/>
        </w:rPr>
        <w:t xml:space="preserve">For global protests, and for national protests with participants residing abroad, the public report discloses the geographic distribution of adhesions by country. A result concentrated in one or two countries can indicate geographically skewed mobilisation — this is not hidden; it is a transparency mechanism built into the report itself.</w:t>
      </w:r>
    </w:p>
    <w:p>
      <w:pPr>
        <w:pStyle w:val="Heading1"/>
        <w:pBdr>
          <w:bottom w:val="single" w:color="1B7F4D" w:sz="6" w:space="4"/>
        </w:pBdr>
        <w:spacing w:after="180" w:before="360"/>
      </w:pPr>
      <w:r>
        <w:rPr>
          <w:b/>
          <w:bCs/>
          <w:color w:val="1A1A1A"/>
          <w:sz w:val="28"/>
          <w:szCs w:val="28"/>
        </w:rPr>
        <w:t xml:space="preserve">10. Reliability scores</w:t>
      </w:r>
    </w:p>
    <w:p>
      <w:pPr>
        <w:spacing w:after="140" w:line="290"/>
        <w:jc w:val="left"/>
      </w:pPr>
      <w:r>
        <w:rPr>
          <w:b w:val="false"/>
          <w:bCs w:val="false"/>
          <w:i w:val="false"/>
          <w:iCs w:val="false"/>
          <w:color w:val="1A1A1A"/>
          <w:sz w:val="20"/>
          <w:szCs w:val="20"/>
        </w:rPr>
        <w:t xml:space="preserve">Reliability scores reflect the quantity of independent verification signals available during participation: SIM affiliation, IP consistency, GPS confirmation, and institutional verification, each scored independently and combined into a composite (ranging from 60% for IP-only signals up to 95% for GPS plus SIM plus IP).</w:t>
      </w:r>
    </w:p>
    <w:p>
      <w:pPr>
        <w:spacing w:after="140" w:line="290"/>
        <w:jc w:val="left"/>
      </w:pPr>
      <w:r>
        <w:rPr>
          <w:b w:val="false"/>
          <w:bCs w:val="false"/>
          <w:i w:val="false"/>
          <w:iCs w:val="false"/>
          <w:color w:val="1A1A1A"/>
          <w:sz w:val="20"/>
          <w:szCs w:val="20"/>
        </w:rPr>
        <w:t xml:space="preserve">Reliability scores are not statistical probabilities. They should not be interpreted as a probability of truth, of legitimacy, of residence, or of citizenship. A lower score does not affect eligibility — a participant verified by SIM prefix alone is exactly as eligible as one verified by SIM, IP and GPS together. The score indicates only the strength of corroborating signals available at the time of participation, and the full methodology is publicly documented.</w:t>
      </w:r>
    </w:p>
    <w:p>
      <w:pPr>
        <w:pStyle w:val="Heading1"/>
        <w:pBdr>
          <w:bottom w:val="single" w:color="1B7F4D" w:sz="6" w:space="4"/>
        </w:pBdr>
        <w:spacing w:after="180" w:before="360"/>
      </w:pPr>
      <w:r>
        <w:rPr>
          <w:b/>
          <w:bCs/>
          <w:color w:val="1A1A1A"/>
          <w:sz w:val="28"/>
          <w:szCs w:val="28"/>
        </w:rPr>
        <w:t xml:space="preserve">11. Institutional recognition</w:t>
      </w:r>
    </w:p>
    <w:p>
      <w:pPr>
        <w:spacing w:after="140" w:line="290"/>
        <w:jc w:val="left"/>
      </w:pPr>
      <w:r>
        <w:rPr>
          <w:b w:val="false"/>
          <w:bCs w:val="false"/>
          <w:i w:val="false"/>
          <w:iCs w:val="false"/>
          <w:color w:val="1A1A1A"/>
          <w:sz w:val="20"/>
          <w:szCs w:val="20"/>
        </w:rPr>
        <w:t xml:space="preserve">Voice Protest does not require institutional recognition, approval or endorsement. The platform records verified participation; institutions remain entirely free to respond, ignore, contest, engage with or reject any protest published on it. The value of a closed report is informative and political: it provides verifiable evidence of the level of documented disagreement, which media, political opposition, oversight bodies or citizens themselves may use to apply further pressure — but Voice Protest itself has no coercive capacity over any institution.</w:t>
      </w:r>
    </w:p>
    <w:p>
      <w:r>
        <w:br w:type="page"/>
      </w:r>
    </w:p>
    <w:p>
      <w:pPr>
        <w:pStyle w:val="Heading1"/>
        <w:pBdr>
          <w:bottom w:val="single" w:color="1B7F4D" w:sz="6" w:space="4"/>
        </w:pBdr>
        <w:spacing w:after="180" w:before="360"/>
      </w:pPr>
      <w:r>
        <w:rPr>
          <w:b/>
          <w:bCs/>
          <w:color w:val="1A1A1A"/>
          <w:sz w:val="28"/>
          <w:szCs w:val="28"/>
        </w:rPr>
        <w:t xml:space="preserve">12. Threat model</w:t>
      </w:r>
    </w:p>
    <w:p>
      <w:pPr>
        <w:spacing w:after="140" w:line="290"/>
        <w:jc w:val="left"/>
      </w:pPr>
      <w:r>
        <w:rPr>
          <w:b w:val="false"/>
          <w:bCs w:val="false"/>
          <w:i w:val="false"/>
          <w:iCs w:val="false"/>
          <w:color w:val="1A1A1A"/>
          <w:sz w:val="20"/>
          <w:szCs w:val="20"/>
        </w:rPr>
        <w:t xml:space="preserve">Voice Protest is designed against two opposing threats, and the platform's central design tension is resisting both simultaneously.</w:t>
      </w:r>
    </w:p>
    <w:p>
      <w:pPr>
        <w:pStyle w:val="Heading2"/>
        <w:spacing w:after="100" w:before="240"/>
      </w:pPr>
      <w:r>
        <w:rPr>
          <w:b/>
          <w:bCs/>
          <w:color w:val="1B7F4D"/>
          <w:sz w:val="22"/>
          <w:szCs w:val="22"/>
        </w:rPr>
        <w:t xml:space="preserve">12.1 — Manipulation from below</w:t>
      </w:r>
    </w:p>
    <w:p>
      <w:pPr>
        <w:spacing w:after="140" w:line="290"/>
        <w:jc w:val="left"/>
      </w:pPr>
      <w:r>
        <w:rPr>
          <w:b w:val="false"/>
          <w:bCs w:val="false"/>
          <w:i w:val="false"/>
          <w:iCs w:val="false"/>
          <w:color w:val="1A1A1A"/>
          <w:sz w:val="20"/>
          <w:szCs w:val="20"/>
        </w:rPr>
        <w:t xml:space="preserve">Bots, duplicate adhesions, SIM farms, artificial campaigns, or participation from people outside the relevant scope of a protest. Left unchecked, this threat erodes the credibility of the result.</w:t>
      </w:r>
    </w:p>
    <w:p>
      <w:pPr>
        <w:pStyle w:val="Heading2"/>
        <w:spacing w:after="100" w:before="240"/>
      </w:pPr>
      <w:r>
        <w:rPr>
          <w:b/>
          <w:bCs/>
          <w:color w:val="1B7F4D"/>
          <w:sz w:val="22"/>
          <w:szCs w:val="22"/>
        </w:rPr>
        <w:t xml:space="preserve">12.2 — Retaliation from above</w:t>
      </w:r>
    </w:p>
    <w:p>
      <w:pPr>
        <w:spacing w:after="140" w:line="290"/>
        <w:jc w:val="left"/>
      </w:pPr>
      <w:r>
        <w:rPr>
          <w:b w:val="false"/>
          <w:bCs w:val="false"/>
          <w:i w:val="false"/>
          <w:iCs w:val="false"/>
          <w:color w:val="1A1A1A"/>
          <w:sz w:val="20"/>
          <w:szCs w:val="20"/>
        </w:rPr>
        <w:t xml:space="preserve">Governments, employers, institutions or other powerful actors attempting to identify participants in order to sanction, intimidate or discriminate against them. Left unreduced, this threat removes the freedom to participate precisely for those who most need protection.</w:t>
      </w:r>
    </w:p>
    <w:p>
      <w:pPr>
        <w:spacing w:after="140" w:line="290"/>
        <w:jc w:val="left"/>
      </w:pPr>
      <w:r>
        <w:rPr>
          <w:b w:val="false"/>
          <w:bCs w:val="false"/>
          <w:i w:val="false"/>
          <w:iCs w:val="false"/>
          <w:color w:val="1A1A1A"/>
          <w:sz w:val="20"/>
          <w:szCs w:val="20"/>
        </w:rPr>
        <w:t xml:space="preserve">A fully anonymous tool can be manipulated freely; a tool with full identity verification can be used to intimidate. Voice Protest deliberately sits between those two extremes. The objective is not to make manipulation theoretically impossible — no civic platform can achieve that — but to make it significantly more expensive, more difficult, more visible and more auditable than in conventional online petition systems, while keeping participant identity outside the platform's own knowledge.</w:t>
      </w:r>
    </w:p>
    <w:p>
      <w:pPr>
        <w:pStyle w:val="Heading1"/>
        <w:pBdr>
          <w:bottom w:val="single" w:color="1B7F4D" w:sz="6" w:space="4"/>
        </w:pBdr>
        <w:spacing w:after="180" w:before="360"/>
      </w:pPr>
      <w:r>
        <w:rPr>
          <w:b/>
          <w:bCs/>
          <w:color w:val="1A1A1A"/>
          <w:sz w:val="28"/>
          <w:szCs w:val="28"/>
        </w:rPr>
        <w:t xml:space="preserve">13. Common attacks and responses</w:t>
      </w:r>
    </w:p>
    <w:p>
      <w:pPr>
        <w:pStyle w:val="Heading2"/>
        <w:spacing w:after="100" w:before="240"/>
      </w:pPr>
      <w:r>
        <w:rPr>
          <w:b/>
          <w:bCs/>
          <w:color w:val="1B7F4D"/>
          <w:sz w:val="22"/>
          <w:szCs w:val="22"/>
        </w:rPr>
        <w:t xml:space="preserve">13.1 — Multiple SIM cards</w:t>
      </w:r>
    </w:p>
    <w:p>
      <w:pPr>
        <w:spacing w:after="140" w:line="290"/>
        <w:jc w:val="left"/>
      </w:pPr>
      <w:r>
        <w:rPr>
          <w:b w:val="false"/>
          <w:bCs w:val="false"/>
          <w:i w:val="false"/>
          <w:iCs w:val="false"/>
          <w:color w:val="1A1A1A"/>
          <w:sz w:val="20"/>
          <w:szCs w:val="20"/>
        </w:rPr>
        <w:t xml:space="preserve">Possible at small scale. The cost and traceability of obtaining large numbers of SIM cards varies by jurisdiction, but is generally higher than creating email accounts or petition signatures, and each one still requires a unique nullifier check that blocks a second adhesion from the same number to the same protest.</w:t>
      </w:r>
    </w:p>
    <w:p>
      <w:pPr>
        <w:pStyle w:val="Heading2"/>
        <w:spacing w:after="100" w:before="240"/>
      </w:pPr>
      <w:r>
        <w:rPr>
          <w:b/>
          <w:bCs/>
          <w:color w:val="1B7F4D"/>
          <w:sz w:val="22"/>
          <w:szCs w:val="22"/>
        </w:rPr>
        <w:t xml:space="preserve">13.2 — Bots and automated systems</w:t>
      </w:r>
    </w:p>
    <w:p>
      <w:pPr>
        <w:spacing w:after="140" w:line="290"/>
        <w:jc w:val="left"/>
      </w:pPr>
      <w:r>
        <w:rPr>
          <w:b w:val="false"/>
          <w:bCs w:val="false"/>
          <w:i w:val="false"/>
          <w:iCs w:val="false"/>
          <w:color w:val="1A1A1A"/>
          <w:sz w:val="20"/>
          <w:szCs w:val="20"/>
        </w:rPr>
        <w:t xml:space="preserve">Mitigated through three independent layers: reCAPTCHA v3 scoring, a real SMS sent to a real phone number, and rate limiting on both OTP requests and verification attempts. No script can receive an SMS without a physical device behind it.</w:t>
      </w:r>
    </w:p>
    <w:p>
      <w:pPr>
        <w:pStyle w:val="Heading2"/>
        <w:spacing w:after="100" w:before="240"/>
      </w:pPr>
      <w:r>
        <w:rPr>
          <w:b/>
          <w:bCs/>
          <w:color w:val="1B7F4D"/>
          <w:sz w:val="22"/>
          <w:szCs w:val="22"/>
        </w:rPr>
        <w:t xml:space="preserve">13.3 — Operator manipulation</w:t>
      </w:r>
    </w:p>
    <w:p>
      <w:pPr>
        <w:spacing w:after="140" w:line="290"/>
        <w:jc w:val="left"/>
      </w:pPr>
      <w:r>
        <w:rPr>
          <w:b w:val="false"/>
          <w:bCs w:val="false"/>
          <w:i w:val="false"/>
          <w:iCs w:val="false"/>
          <w:color w:val="1A1A1A"/>
          <w:sz w:val="20"/>
          <w:szCs w:val="20"/>
        </w:rPr>
        <w:t xml:space="preserve">Not theoretically impossible. The platform does not claim otherwise. It is mitigated, not eliminated, through public source code under AGPL 3.0, independent technical audit, and integrity verification — manipulation attempts would be subject to these mechanisms, not guaranteed to be caught by them.</w:t>
      </w:r>
    </w:p>
    <w:p>
      <w:pPr>
        <w:pStyle w:val="Heading2"/>
        <w:spacing w:after="100" w:before="240"/>
      </w:pPr>
      <w:r>
        <w:rPr>
          <w:b/>
          <w:bCs/>
          <w:color w:val="1B7F4D"/>
          <w:sz w:val="22"/>
          <w:szCs w:val="22"/>
        </w:rPr>
        <w:t xml:space="preserve">13.4 — GPS spoofing and VPN usage</w:t>
      </w:r>
    </w:p>
    <w:p>
      <w:pPr>
        <w:spacing w:after="140" w:line="290"/>
        <w:jc w:val="left"/>
      </w:pPr>
      <w:r>
        <w:rPr>
          <w:b w:val="false"/>
          <w:bCs w:val="false"/>
          <w:i w:val="false"/>
          <w:iCs w:val="false"/>
          <w:color w:val="1A1A1A"/>
          <w:sz w:val="20"/>
          <w:szCs w:val="20"/>
        </w:rPr>
        <w:t xml:space="preserve">Both affect only the reliability score, never eligibility. Eligibility is determined exclusively by SIM prefix or institutional email domain. A spoofed GPS or a VPN connection cannot add an ineligible participant — it can only lower the displayed reliability signal for that adhesion, which is itself visible in the public report.</w:t>
      </w:r>
    </w:p>
    <w:p>
      <w:pPr>
        <w:pStyle w:val="Heading2"/>
        <w:spacing w:after="100" w:before="240"/>
      </w:pPr>
      <w:r>
        <w:rPr>
          <w:b/>
          <w:bCs/>
          <w:color w:val="1B7F4D"/>
          <w:sz w:val="22"/>
          <w:szCs w:val="22"/>
        </w:rPr>
        <w:t xml:space="preserve">13.5 — Government subpoenas</w:t>
      </w:r>
    </w:p>
    <w:p>
      <w:pPr>
        <w:spacing w:after="140" w:line="290"/>
        <w:jc w:val="left"/>
      </w:pPr>
      <w:r>
        <w:rPr>
          <w:b w:val="false"/>
          <w:bCs w:val="false"/>
          <w:i w:val="false"/>
          <w:iCs w:val="false"/>
          <w:color w:val="1A1A1A"/>
          <w:sz w:val="20"/>
          <w:szCs w:val="20"/>
        </w:rPr>
        <w:t xml:space="preserve">Voice Protest cannot disclose information it does not possess. The platform's own database holds no original phone numbers, no exact locations and no names. A valid court order directed at an external provider such as Twilio could potentially obtain different information, subject to that provider's own legal obligations — this dependency is disclosed in the privacy policy rather than concealed.</w:t>
      </w:r>
    </w:p>
    <w:p>
      <w:pPr>
        <w:pStyle w:val="Heading2"/>
        <w:spacing w:after="100" w:before="240"/>
      </w:pPr>
      <w:r>
        <w:rPr>
          <w:b/>
          <w:bCs/>
          <w:color w:val="1B7F4D"/>
          <w:sz w:val="22"/>
          <w:szCs w:val="22"/>
        </w:rPr>
        <w:t xml:space="preserve">13.6 — “Twilio knows the phone number”</w:t>
      </w:r>
    </w:p>
    <w:p>
      <w:pPr>
        <w:spacing w:after="140" w:line="290"/>
        <w:jc w:val="left"/>
      </w:pPr>
      <w:r>
        <w:rPr>
          <w:b w:val="false"/>
          <w:bCs w:val="false"/>
          <w:i w:val="false"/>
          <w:iCs w:val="false"/>
          <w:color w:val="1A1A1A"/>
          <w:sz w:val="20"/>
          <w:szCs w:val="20"/>
        </w:rPr>
        <w:t xml:space="preserve">Correct, and stated plainly: Voice Protest provides pseudonymity, not absolute anonymity. This is disclosed publicly rather than treated as a contradiction to be managed.</w:t>
      </w:r>
    </w:p>
    <w:p>
      <w:pPr>
        <w:pStyle w:val="Heading1"/>
        <w:pBdr>
          <w:bottom w:val="single" w:color="1B7F4D" w:sz="6" w:space="4"/>
        </w:pBdr>
        <w:spacing w:after="180" w:before="360"/>
      </w:pPr>
      <w:r>
        <w:rPr>
          <w:b/>
          <w:bCs/>
          <w:color w:val="1A1A1A"/>
          <w:sz w:val="28"/>
          <w:szCs w:val="28"/>
        </w:rPr>
        <w:t xml:space="preserve">14. What Voice Protest is not</w:t>
      </w:r>
    </w:p>
    <w:p>
      <w:pPr>
        <w:pStyle w:val="ListParagraph"/>
        <w:numPr>
          <w:ilvl w:val="0"/>
          <w:numId w:val="2"/>
        </w:numPr>
        <w:spacing w:after="80" w:line="270"/>
      </w:pPr>
      <w:r>
        <w:rPr>
          <w:b w:val="false"/>
          <w:bCs w:val="false"/>
          <w:color w:val="1A1A1A"/>
          <w:sz w:val="20"/>
          <w:szCs w:val="20"/>
        </w:rPr>
        <w:t xml:space="preserve">A voting system, and it does not produce binding decisions.</w:t>
      </w:r>
    </w:p>
    <w:p>
      <w:pPr>
        <w:pStyle w:val="ListParagraph"/>
        <w:numPr>
          <w:ilvl w:val="0"/>
          <w:numId w:val="2"/>
        </w:numPr>
        <w:spacing w:after="80" w:line="270"/>
      </w:pPr>
      <w:r>
        <w:rPr>
          <w:b w:val="false"/>
          <w:bCs w:val="false"/>
          <w:color w:val="1A1A1A"/>
          <w:sz w:val="20"/>
          <w:szCs w:val="20"/>
        </w:rPr>
        <w:t xml:space="preserve">A general petition or support-campaign platform.</w:t>
      </w:r>
    </w:p>
    <w:p>
      <w:pPr>
        <w:pStyle w:val="ListParagraph"/>
        <w:numPr>
          <w:ilvl w:val="0"/>
          <w:numId w:val="2"/>
        </w:numPr>
        <w:spacing w:after="80" w:line="270"/>
      </w:pPr>
      <w:r>
        <w:rPr>
          <w:b w:val="false"/>
          <w:bCs w:val="false"/>
          <w:color w:val="1A1A1A"/>
          <w:sz w:val="20"/>
          <w:szCs w:val="20"/>
        </w:rPr>
        <w:t xml:space="preserve">A fact-checker of the grievances it carries.</w:t>
      </w:r>
    </w:p>
    <w:p>
      <w:pPr>
        <w:pStyle w:val="ListParagraph"/>
        <w:numPr>
          <w:ilvl w:val="0"/>
          <w:numId w:val="2"/>
        </w:numPr>
        <w:spacing w:after="80" w:line="270"/>
      </w:pPr>
      <w:r>
        <w:rPr>
          <w:b w:val="false"/>
          <w:bCs w:val="false"/>
          <w:color w:val="1A1A1A"/>
          <w:sz w:val="20"/>
          <w:szCs w:val="20"/>
        </w:rPr>
        <w:t xml:space="preserve">A guarantee of absolute anonymity.</w:t>
      </w:r>
    </w:p>
    <w:p>
      <w:pPr>
        <w:pStyle w:val="ListParagraph"/>
        <w:numPr>
          <w:ilvl w:val="0"/>
          <w:numId w:val="2"/>
        </w:numPr>
        <w:spacing w:after="80" w:line="270"/>
      </w:pPr>
      <w:r>
        <w:rPr>
          <w:b w:val="false"/>
          <w:bCs w:val="false"/>
          <w:color w:val="1A1A1A"/>
          <w:sz w:val="20"/>
          <w:szCs w:val="20"/>
        </w:rPr>
        <w:t xml:space="preserve">A substitute for demonstrations, elections, courts, the press, or formal oversight mechanisms.</w:t>
      </w:r>
    </w:p>
    <w:p>
      <w:pPr>
        <w:pStyle w:val="ListParagraph"/>
        <w:numPr>
          <w:ilvl w:val="0"/>
          <w:numId w:val="2"/>
        </w:numPr>
        <w:spacing w:after="80" w:line="270"/>
      </w:pPr>
      <w:r>
        <w:rPr>
          <w:b w:val="false"/>
          <w:bCs w:val="false"/>
          <w:color w:val="1A1A1A"/>
          <w:sz w:val="20"/>
          <w:szCs w:val="20"/>
        </w:rPr>
        <w:t xml:space="preserve">A channel for complaints against private individuals or actors without public mandate or public funds.</w:t>
      </w:r>
    </w:p>
    <w:p>
      <w:pPr>
        <w:pStyle w:val="Heading1"/>
        <w:pBdr>
          <w:bottom w:val="single" w:color="1B7F4D" w:sz="6" w:space="4"/>
        </w:pBdr>
        <w:spacing w:after="180" w:before="360"/>
      </w:pPr>
      <w:r>
        <w:rPr>
          <w:b/>
          <w:bCs/>
          <w:color w:val="1A1A1A"/>
          <w:sz w:val="28"/>
          <w:szCs w:val="28"/>
        </w:rPr>
        <w:t xml:space="preserve">15. What Voice Protest is</w:t>
      </w:r>
    </w:p>
    <w:p>
      <w:pPr>
        <w:pStyle w:val="ListParagraph"/>
        <w:numPr>
          <w:ilvl w:val="0"/>
          <w:numId w:val="2"/>
        </w:numPr>
        <w:spacing w:after="80" w:line="270"/>
      </w:pPr>
      <w:r>
        <w:rPr>
          <w:b w:val="false"/>
          <w:bCs w:val="false"/>
          <w:color w:val="1A1A1A"/>
          <w:sz w:val="20"/>
          <w:szCs w:val="20"/>
        </w:rPr>
        <w:t xml:space="preserve">Civic infrastructure for verified protest directed at public or publicly funded institutions.</w:t>
      </w:r>
    </w:p>
    <w:p>
      <w:pPr>
        <w:pStyle w:val="ListParagraph"/>
        <w:numPr>
          <w:ilvl w:val="0"/>
          <w:numId w:val="2"/>
        </w:numPr>
        <w:spacing w:after="80" w:line="270"/>
      </w:pPr>
      <w:r>
        <w:rPr>
          <w:b w:val="false"/>
          <w:bCs w:val="false"/>
          <w:color w:val="1A1A1A"/>
          <w:sz w:val="20"/>
          <w:szCs w:val="20"/>
        </w:rPr>
        <w:t xml:space="preserve">A one-adhesion-per-protest mechanism, compatible with privacy by design.</w:t>
      </w:r>
    </w:p>
    <w:p>
      <w:pPr>
        <w:pStyle w:val="ListParagraph"/>
        <w:numPr>
          <w:ilvl w:val="0"/>
          <w:numId w:val="2"/>
        </w:numPr>
        <w:spacing w:after="80" w:line="270"/>
      </w:pPr>
      <w:r>
        <w:rPr>
          <w:b w:val="false"/>
          <w:bCs w:val="false"/>
          <w:color w:val="1A1A1A"/>
          <w:sz w:val="20"/>
          <w:szCs w:val="20"/>
        </w:rPr>
        <w:t xml:space="preserve">A system that generates interpretable, publicly auditable reports.</w:t>
      </w:r>
    </w:p>
    <w:p>
      <w:pPr>
        <w:pStyle w:val="ListParagraph"/>
        <w:numPr>
          <w:ilvl w:val="0"/>
          <w:numId w:val="2"/>
        </w:numPr>
        <w:spacing w:after="80" w:line="270"/>
      </w:pPr>
      <w:r>
        <w:rPr>
          <w:b w:val="false"/>
          <w:bCs w:val="false"/>
          <w:color w:val="1A1A1A"/>
          <w:sz w:val="20"/>
          <w:szCs w:val="20"/>
        </w:rPr>
        <w:t xml:space="preserve">A complement to physical protest, not its replacement.</w:t>
      </w:r>
    </w:p>
    <w:p>
      <w:pPr>
        <w:pStyle w:val="ListParagraph"/>
        <w:numPr>
          <w:ilvl w:val="0"/>
          <w:numId w:val="2"/>
        </w:numPr>
        <w:spacing w:after="80" w:line="270"/>
      </w:pPr>
      <w:r>
        <w:rPr>
          <w:b w:val="false"/>
          <w:bCs w:val="false"/>
          <w:color w:val="1A1A1A"/>
          <w:sz w:val="20"/>
          <w:szCs w:val="20"/>
        </w:rPr>
        <w:t xml:space="preserve">A project whose legitimacy must rest on transparency, data minimisation, and honesty about its own limitations.</w:t>
      </w:r>
    </w:p>
    <w:p>
      <w:r>
        <w:br w:type="page"/>
      </w:r>
    </w:p>
    <w:p>
      <w:pPr>
        <w:pStyle w:val="Heading1"/>
        <w:pBdr>
          <w:bottom w:val="single" w:color="1B7F4D" w:sz="6" w:space="4"/>
        </w:pBdr>
        <w:spacing w:after="180" w:before="360"/>
      </w:pPr>
      <w:r>
        <w:rPr>
          <w:b/>
          <w:bCs/>
          <w:color w:val="1A1A1A"/>
          <w:sz w:val="28"/>
          <w:szCs w:val="28"/>
        </w:rPr>
        <w:t xml:space="preserve">16. Independence: policy versus track record</w:t>
      </w:r>
    </w:p>
    <w:p>
      <w:pPr>
        <w:spacing w:after="140" w:line="290"/>
        <w:jc w:val="left"/>
      </w:pPr>
      <w:r>
        <w:rPr>
          <w:b w:val="false"/>
          <w:bCs w:val="false"/>
          <w:i w:val="false"/>
          <w:iCs w:val="false"/>
          <w:color w:val="1A1A1A"/>
          <w:sz w:val="20"/>
          <w:szCs w:val="20"/>
        </w:rPr>
        <w:t xml:space="preserve">Two distinct claims are sometimes conflated, and this document treats them separately because only one of them is a verifiable fact at this stage of the project.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9D9D9" w:sz="2"/>
              <w:left w:val="single" w:color="D9D9D9" w:sz="2"/>
              <w:bottom w:val="single" w:color="D9D9D9" w:sz="2"/>
              <w:right w:val="single" w:color="D9D9D9" w:sz="2"/>
            </w:tcBorders>
            <w:shd w:fill="F2F2F2" w:val="clear"/>
            <w:tcMar>
              <w:top w:type="dxa" w:w="180"/>
              <w:left w:type="dxa" w:w="220"/>
              <w:bottom w:type="dxa" w:w="180"/>
              <w:right w:type="dxa" w:w="220"/>
            </w:tcMar>
          </w:tcPr>
          <w:p>
            <w:pPr>
              <w:spacing w:after="80"/>
            </w:pPr>
            <w:r>
              <w:rPr>
                <w:b/>
                <w:bCs/>
                <w:caps/>
                <w:color w:val="1B7F4D"/>
                <w:sz w:val="18"/>
                <w:szCs w:val="18"/>
              </w:rPr>
              <w:t xml:space="preserve">Structural policy (verifiable today)</w:t>
            </w:r>
          </w:p>
          <w:p>
            <w:pPr>
              <w:spacing w:after="100"/>
            </w:pPr>
            <w:r>
              <w:rPr>
                <w:color w:val="1A1A1A"/>
                <w:sz w:val="19"/>
                <w:szCs w:val="19"/>
              </w:rPr>
              <w:t xml:space="preserve">Voice Protest rejects institutional funding by design — from governments, political parties, ideological foundations, unions, employer associations or international bodies — explicitly and permanently. Even well-intentioned institutional funding without explicit conditions would create a perception of dependency, an implicit debt that could subtly influence future decisions, and a precedent making it harder to refuse future funding with more explicit conditions. This is a current operating policy, demonstrable today against the Funding &amp; Independence Policy and reflected in the funding model itself.</w:t>
            </w:r>
          </w:p>
          <w:p>
            <w:pPr>
              <w:spacing w:after="80"/>
            </w:pPr>
            <w:r>
              <w:rPr>
                <w:b/>
                <w:bCs/>
                <w:caps/>
                <w:color w:val="B23A3A"/>
                <w:sz w:val="18"/>
                <w:szCs w:val="18"/>
              </w:rPr>
              <w:t xml:space="preserve">Track record (not yet a verifiable fact)</w:t>
            </w:r>
          </w:p>
          <w:p>
            <w:r>
              <w:rPr>
                <w:color w:val="595959"/>
                <w:sz w:val="19"/>
                <w:szCs w:val="19"/>
              </w:rPr>
              <w:t xml:space="preserve">Claims such as “no large donors” describe what has actually happened so far, on a platform still in beta with limited financial history. This document does not make that claim, since it cannot yet be demonstrated either way — only the structural policy above is asserted.</w:t>
            </w:r>
          </w:p>
        </w:tc>
      </w:tr>
    </w:tbl>
    <w:p>
      <w:pPr>
        <w:spacing w:after="140" w:line="290"/>
        <w:jc w:val="left"/>
      </w:pPr>
      <w:r>
        <w:rPr>
          <w:b w:val="false"/>
          <w:bCs w:val="false"/>
          <w:i/>
          <w:iCs/>
          <w:color w:val="1A1A1A"/>
          <w:sz w:val="20"/>
          <w:szCs w:val="20"/>
        </w:rPr>
        <w:t xml:space="preserve">Individual contributions are currently capped at €100 per donation, specifically to prevent any single donor from accumulating disproportionate influence. Financial contributions do not grant control over the platform, its governance, or any protest published on it. “Independent by structure, not by promise.”</w:t>
      </w:r>
    </w:p>
    <w:p>
      <w:pPr>
        <w:pStyle w:val="Heading1"/>
        <w:pBdr>
          <w:bottom w:val="single" w:color="1B7F4D" w:sz="6" w:space="4"/>
        </w:pBdr>
        <w:spacing w:after="180" w:before="360"/>
      </w:pPr>
      <w:r>
        <w:rPr>
          <w:b/>
          <w:bCs/>
          <w:color w:val="1A1A1A"/>
          <w:sz w:val="28"/>
          <w:szCs w:val="28"/>
        </w:rPr>
        <w:t xml:space="preserve">17. Future research</w:t>
      </w:r>
    </w:p>
    <w:p>
      <w:pPr>
        <w:spacing w:after="140" w:line="290"/>
        <w:jc w:val="left"/>
      </w:pPr>
      <w:r>
        <w:rPr>
          <w:b w:val="false"/>
          <w:bCs w:val="false"/>
          <w:i w:val="false"/>
          <w:iCs w:val="false"/>
          <w:color w:val="1A1A1A"/>
          <w:sz w:val="20"/>
          <w:szCs w:val="20"/>
        </w:rPr>
        <w:t xml:space="preserve">Voice Protest is currently focused on verified participation. Future research may explore whether aggregated participation data can contribute to broader studies of democratic observability, institutional responsiveness, and collective civic behaviour.</w:t>
      </w:r>
    </w:p>
    <w:p>
      <w:pPr>
        <w:spacing w:after="140" w:line="290"/>
        <w:jc w:val="left"/>
      </w:pPr>
      <w:r>
        <w:rPr>
          <w:b w:val="false"/>
          <w:bCs w:val="false"/>
          <w:i w:val="false"/>
          <w:iCs w:val="false"/>
          <w:color w:val="1A1A1A"/>
          <w:sz w:val="20"/>
          <w:szCs w:val="20"/>
        </w:rPr>
        <w:t xml:space="preserve">Such research remains exploratory and must not be confused with the current capabilities of the platform. This document deliberately does not introduce exploratory research vocabulary or framing — that material belongs in a separate research document, not in the platform's defence reference.</w:t>
      </w:r>
    </w:p>
    <w:p>
      <w:pPr>
        <w:pStyle w:val="Heading1"/>
        <w:pBdr>
          <w:bottom w:val="single" w:color="1B7F4D" w:sz="6" w:space="4"/>
        </w:pBdr>
        <w:spacing w:after="180" w:before="360"/>
      </w:pPr>
      <w:r>
        <w:rPr>
          <w:b/>
          <w:bCs/>
          <w:color w:val="1A1A1A"/>
          <w:sz w:val="28"/>
          <w:szCs w:val="28"/>
        </w:rPr>
        <w:t xml:space="preserve">18. Final statement</w:t>
      </w:r>
    </w:p>
    <w:p>
      <w:pPr>
        <w:spacing w:after="140" w:line="290"/>
        <w:jc w:val="left"/>
      </w:pPr>
      <w:r>
        <w:rPr>
          <w:b w:val="false"/>
          <w:bCs w:val="false"/>
          <w:i w:val="false"/>
          <w:iCs w:val="false"/>
          <w:color w:val="1A1A1A"/>
          <w:sz w:val="20"/>
          <w:szCs w:val="20"/>
        </w:rPr>
        <w:t xml:space="preserve">Voice Protest does not claim perfection. It does not claim neutrality of outcomes. It does not claim truth. It does not claim representativeness.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9D9D9" w:sz="2"/>
              <w:left w:val="single" w:color="D9D9D9" w:sz="2"/>
              <w:bottom w:val="single" w:color="D9D9D9" w:sz="2"/>
              <w:right w:val="single" w:color="D9D9D9" w:sz="2"/>
            </w:tcBorders>
            <w:shd w:fill="F2F2F2" w:val="clear"/>
            <w:tcMar>
              <w:top w:type="dxa" w:w="180"/>
              <w:left w:type="dxa" w:w="220"/>
              <w:bottom w:type="dxa" w:w="180"/>
              <w:right w:type="dxa" w:w="220"/>
            </w:tcMar>
          </w:tcPr>
          <w:p>
            <w:r>
              <w:rPr>
                <w:b/>
                <w:bCs/>
                <w:i/>
                <w:iCs/>
                <w:color w:val="1A1A1A"/>
                <w:sz w:val="21"/>
                <w:szCs w:val="21"/>
              </w:rPr>
              <w:t xml:space="preserve">Voice Protest claims only that verified participation can be measured in a manner that is more transparent, more auditable, more privacy-preserving, and more resistant to duplication than conventional online petition systems.</w:t>
            </w:r>
          </w:p>
        </w:tc>
      </w:tr>
    </w:tbl>
    <w:p>
      <w:pPr>
        <w:spacing w:after="160"/>
      </w:pPr>
    </w:p>
    <w:p>
      <w:pPr>
        <w:spacing w:after="140" w:line="290"/>
        <w:jc w:val="left"/>
      </w:pPr>
      <w:r>
        <w:rPr>
          <w:b w:val="false"/>
          <w:bCs w:val="false"/>
          <w:i w:val="false"/>
          <w:iCs w:val="false"/>
          <w:color w:val="1A1A1A"/>
          <w:sz w:val="20"/>
          <w:szCs w:val="20"/>
        </w:rPr>
        <w:t xml:space="preserve">That claim is the foundation of the platform. Everything else should be evaluated separately.</w:t>
      </w:r>
    </w:p>
    <w:p>
      <w:r>
        <w:br w:type="page"/>
      </w:r>
    </w:p>
    <w:p>
      <w:pPr>
        <w:spacing w:before="1800"/>
      </w:pPr>
    </w:p>
    <w:p>
      <w:pPr>
        <w:spacing w:after="100"/>
        <w:jc w:val="center"/>
      </w:pPr>
      <w:r>
        <w:rPr>
          <w:b/>
          <w:bCs/>
          <w:color w:val="1A1A1A"/>
          <w:sz w:val="26"/>
          <w:szCs w:val="26"/>
        </w:rPr>
        <w:t xml:space="preserve">Stichting Voice Protest</w:t>
      </w:r>
    </w:p>
    <w:p>
      <w:pPr>
        <w:spacing w:after="300"/>
        <w:jc w:val="center"/>
      </w:pPr>
      <w:r>
        <w:rPr>
          <w:color w:val="595959"/>
          <w:sz w:val="20"/>
          <w:szCs w:val="20"/>
        </w:rPr>
        <w:t xml:space="preserve">Utrecht, the Netherlands · June 2026</w:t>
      </w:r>
    </w:p>
    <w:p>
      <w:pPr>
        <w:spacing w:after="300"/>
        <w:jc w:val="center"/>
      </w:pPr>
      <w:r>
        <w:rPr>
          <w:color w:val="595959"/>
          <w:sz w:val="18"/>
          <w:szCs w:val="18"/>
        </w:rPr>
        <w:t xml:space="preserve">github.com/cero-absoluto/vozciudadana · AGPL 3.0</w:t>
      </w:r>
    </w:p>
    <w:p>
      <w:pPr>
        <w:jc w:val="center"/>
      </w:pPr>
      <w:r>
        <w:rPr>
          <w:i/>
          <w:iCs/>
          <w:color w:val="595959"/>
          <w:sz w:val="16"/>
          <w:szCs w:val="16"/>
        </w:rPr>
        <w:t xml:space="preserve">This document supersedes “Attack Vectors &amp; Responses” and Audit Alignment Framework v2.0.
Verified against: README · Privacy Policy · Funding &amp; Independence Policy · Fundamentos, diseño y documentación (audited master document).</w:t>
      </w:r>
    </w:p>
    <w:sectPr>
      <w:headerReference w:type="default" r:id="rId7"/>
      <w:footerReference w:type="default" r:id="rId8"/>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Stichting Voice Protest · Utrecht · </w:t>
    </w:r>
    <w:r>
      <w:rPr>
        <w:color w:val="595959"/>
        <w:sz w:val="16"/>
        <w:szCs w:val="16"/>
      </w:rPr>
      <w:t xml:space="preserve">Page </w:t>
    </w:r>
    <w:r>
      <w:rPr>
        <w:color w:val="59595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9D9" w:sz="4" w:space="4"/>
      </w:pBdr>
    </w:pPr>
    <w:r>
      <w:rPr>
        <w:b/>
        <w:bCs/>
        <w:color w:val="595959"/>
        <w:sz w:val="15"/>
        <w:szCs w:val="15"/>
      </w:rPr>
      <w:t xml:space="preserve">VOICE PROTEST — AUDIT ALIGNMENT FRAMEWORK v2.1 — CANONICAL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Calibri" w:cs="Calibri" w:eastAsia="Calibri" w:hAnsi="Calibri"/>
      <w:b/>
      <w:bCs/>
      <w:color w:val="1A1A1A"/>
      <w:sz w:val="28"/>
      <w:szCs w:val="28"/>
    </w:rPr>
  </w:style>
  <w:style w:type="paragraph" w:styleId="Heading2">
    <w:name w:val="Heading 2"/>
    <w:basedOn w:val="Normal"/>
    <w:next w:val="Normal"/>
    <w:qFormat/>
    <w:pPr>
      <w:spacing w:after="100" w:before="240"/>
      <w:outlineLvl w:val="1"/>
    </w:pPr>
    <w:rPr>
      <w:rFonts w:ascii="Calibri" w:cs="Calibri" w:eastAsia="Calibri" w:hAnsi="Calibri"/>
      <w:b/>
      <w:bCs/>
      <w:color w:val="1B7F4D"/>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2026-06-17T22:14:06.645Z</dcterms:created>
  <dcterms:modified xsi:type="dcterms:W3CDTF">2026-06-17T22:14:06.645Z</dcterms:modified>
</cp:coreProperties>
</file>

<file path=docProps/custom.xml><?xml version="1.0" encoding="utf-8"?>
<Properties xmlns="http://schemas.openxmlformats.org/officeDocument/2006/custom-properties" xmlns:vt="http://schemas.openxmlformats.org/officeDocument/2006/docPropsVTypes"/>
</file>