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Pr>
      <w:r>
        <w:t>Session corrections — July 2026</w:t>
      </w:r>
    </w:p>
    <w:p>
      <w:r>
        <w:t>This entry documents a set of changes applied during the development sessions of early July 2026: a change to how recipient institutions are validated, a broadening of the accepted abuse types, a new requirement for institutional events, and a redesign of the landing page around the map.</w:t>
      </w:r>
    </w:p>
    <w:p>
      <w:pPr>
        <w:pStyle w:val="Heading2"/>
      </w:pPr>
      <w:r>
        <w:t>Recipient validation moved to hierarchical Wikidata classification</w:t>
      </w:r>
    </w:p>
    <w:p>
      <w:r>
        <w:t>The server-side recipient check (16.4) previously matched a recipient’s declared Wikidata type against a flat list of accepted type identifiers. That list required a new manual entry for every institution type it did not yet cover — the additions logged in 7.7 (a Spanish city council, among others) were an example — and could never be complete. The check now traverses the Wikidata subclass hierarchy (instance-of, then subclass-of transitively) against a small set of public-authority classes, so a specific national institution type is recognised through its parent classes. An allowed public classification takes precedence over a rejected one, so a public enterprise is admitted while a private company or a political party is rejected; verdicts are cached. This supersedes the manual list-maintenance approach recorded in 7.7.</w:t>
      </w:r>
    </w:p>
    <w:p>
      <w:pPr>
        <w:pStyle w:val="Heading2"/>
      </w:pPr>
      <w:r>
        <w:t>Accepted abuse types broadened from seven to sixteen</w:t>
      </w:r>
    </w:p>
    <w:p>
      <w:r>
        <w:t>The closed list of accepted abuse types (16.1) was broadened from seven categories to sixteen, grouped in three families anchored to recognised frameworks: integrity and corruption (UN Convention against Corruption), maladministration (European Ombudsman and Article 41 of the EU Charter), and rights and liberties (ECHR and EU Charter), plus a residual ‘other public power abuse’. The frontend selector and the backend closed list are kept in exact synchronisation. The change widens the range of legitimate public grievances the platform can express without weakening the other three admission rules.</w:t>
      </w:r>
    </w:p>
    <w:p>
      <w:pPr>
        <w:pStyle w:val="Heading2"/>
      </w:pPr>
      <w:r>
        <w:t>Institutional country now mandatory</w:t>
      </w:r>
    </w:p>
    <w:p>
      <w:r>
        <w:t>Institutional convocatorias now declare the institution’s country as a mandatory field. Eligibility is unchanged — it remains membership of the approved email domain — but the declared country records the institution’s seat so the convocatoria can be placed on the map and reached through the new country-first navigation. This updates 20.6, which previously stated that institutional convocatorias declare no geographic entity; the country is a locator for discoverability only and produces no geographic breakdown of participants.</w:t>
      </w:r>
    </w:p>
    <w:p>
      <w:pPr>
        <w:pStyle w:val="Heading2"/>
      </w:pPr>
      <w:r>
        <w:t>Landing redesigned around country-first map navigation</w:t>
      </w:r>
    </w:p>
    <w:p>
      <w:r>
        <w:t>The landing page was reorganised so the map is the primary way to browse. On load it frames the user’s country — using the strongest signal available without a permission prompt (SIM country if known, otherwise IP country), and refining to the SIM country if it arrives later and the user has not moved the map — leaving neighbouring countries visible. Tapping a country recentres the map and filters the list to that country. The scope filter order was aligned to global, national, regional, local and institutional, matching the event-creation screen; institutional convocatorias are now shown as their own category, distinct from regional, in both the list and the map.</w:t>
      </w:r>
    </w:p>
    <w:p>
      <w:pPr>
        <w:pStyle w:val="Heading2"/>
      </w:pPr>
      <w:r>
        <w:t>Country names localised; service worker made deploy-safe</w:t>
      </w:r>
    </w:p>
    <w:p>
      <w:r>
        <w:t>Two smaller corrections. Country names in the convocatoria list are now localised to the interface language at render time, using the browser’s own Intl data, instead of a fixed string stored at creation. And the service worker was switched to a network-first strategy for the application shell, so a new deployment is picked up on the next load instead of after a stale-cache delay.</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p/>
    <w:p>
      <w:r>
        <w:t>――――――――――――――――――――――――――――――――――――――――</w:t>
      </w:r>
    </w:p>
    <w:p>
      <w:r>
        <w:rPr>
          <w:b/>
        </w:rPr>
        <w:t>Session corrections — July 2026 (second pass)</w:t>
      </w:r>
    </w:p>
    <w:p>
      <w:r>
        <w:rPr>
          <w:b w:val="0"/>
        </w:rPr>
        <w:t>Three corrections applied across canonical documents following review against the deployed codebase (v67):</w:t>
      </w:r>
    </w:p>
    <w:p>
      <w:r>
        <w:rPr>
          <w:b w:val="0"/>
        </w:rPr>
        <w:t>1. Methodology v3.5-beta → v1.0. The beta designation was removed. The document is now the canonical reference for participation verification. A changelog section was added.</w:t>
      </w:r>
    </w:p>
    <w:p>
      <w:r>
        <w:rPr>
          <w:b w:val="0"/>
        </w:rPr>
        <w:t>2. Integrity version 2 language corrected. The phrase "is available from integrity version 2" in both the Methodology (§6) and the AuditAlignment (§integrity) has been corrected to "will be available from integrity version 2". The internal seal (version 1) remains the only deployed mechanism. The correction removes a factual inaccuracy that overstated the current platform capabilities.</w:t>
      </w:r>
    </w:p>
    <w:p>
      <w:r>
        <w:rPr>
          <w:b w:val="0"/>
        </w:rPr>
        <w:t>3. Reliability score formula formalised. The score (60–95%) was implemented in the codebase but undocumented in any canonical reference. §4.1 has been added to the Methodology v1.0 documenting the exact formula: GPS+SIM+IP=95%, GPS+SIM=92%, SIM+IP=85%, SIM only=75%, IP only=60%. No code change — documentation only.</w:t>
      </w:r>
    </w:p>
    <w:p>
      <w:r>
        <w:rPr>
          <w:b w:val="0"/>
        </w:rPr>
        <w:t>4. Source admissibility clarified as unconditional. The phrase "where required" in §3 of the Methodology was ambiguous and has been removed. Source admissibility is required for all convocatorias without exception, consistent with the deployed backend schema.</w:t>
      </w:r>
    </w:p>
    <w:p>
      <w:r>
        <w:rPr>
          <w:b w:val="0"/>
        </w:rPr>
        <w:t>AuditAlignment updated to v2.2 incorporating correction #2. Methodology updated to v1.0 incorporating corrections #1, #2, #3, #4. Security Audit updated to v1.1 (status and changelog only).</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