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2"/>
        <w:spacing w:after="160" w:line="320" w:lineRule="auto"/>
      </w:pPr>
      <w:r>
        <w:t xml:space="preserve">Identity hashing consolidated server-side with HMAC</w:t>
      </w:r>
    </w:p>
    <w:p>
      <w:pPr>
        <w:spacing w:after="160" w:line="320" w:lineRule="auto"/>
        <w:jc w:val="both"/>
      </w:pPr>
      <w:r>
        <w:t xml:space="preserve">A review of the data-handling guarantees revealed that identity hashing was being performed in the browser using plain SHA-256 for both phone numbers (at sign-in) and institutional emails (in the trusted-census flow), with the resulting hash sent to and stored by the server. Because a browser cannot hold a server secret, a client-side hash can only ever be plain SHA-256 — which, for low-entropy identifiers such as phone numbers and predictable institutional email addresses, is recoverable by dictionary attack. This contradicted the platform’s own cryptographic principle, under which low-entropy identifiers must be protected with a keyed HMAC. The server-side HMAC helper existed but was applied only to a secondary device record, not to the identifier actually stored against each adhesion. Separately, the trusted-census vouching flow persisted candidate email addresses in plain text.</w:t>
      </w:r>
    </w:p>
    <w:p>
      <w:pPr>
        <w:spacing w:after="160" w:line="320" w:lineRule="auto"/>
        <w:jc w:val="both"/>
      </w:pPr>
      <w:r>
        <w:t xml:space="preserve">Identity hashing was consolidated entirely on the server. The raw phone number or email travels to the backend only for one-time verification, exactly as before; the backend computes the HMAC with a server-side secret and returns the resulting identifier; the client stores and reuses that value but never derives an identity hash itself. A single secret is reused for phone and email, since it is conceptually an identity-hash secret rather than a phone-specific one. The per-adhesion nullifier is derived as a keyed HMAC of the identity hash and the convocatoria identifier, so it differs across convocatorias and cannot be correlated. Institutional and census participation now resolve to the same HMAC for a given email, restoring their consistency. In the vouching flow the candidate email is masked (for example j***@uu.nl) and the raw address is never persisted. The server now refuses to start in production if the identity-hashing secrets are absent, rather than silently downgrading to plain SHA-256, and the browser-side hashing helpers — together with a misleading live “SHA-256” preview shown during sign-in — were removed.</w:t>
      </w:r>
    </w:p>
    <w:p>
      <w:pPr>
        <w:pStyle w:val="Heading1"/>
        <w:pBdr>
          <w:bottom w:val="single" w:color="1B7F4D" w:sz="6" w:space="4"/>
        </w:pBdr>
        <w:spacing w:after="200" w:before="400"/>
      </w:pPr>
      <w:r>
        <w:rPr>
          <w:b/>
          <w:bCs/>
          <w:color w:val="1A1A1A"/>
          <w:sz w:val="30"/>
          <w:szCs w:val="30"/>
        </w:rPr>
        <w:t xml:space="preserve">Session corrections — 28 June 2026</w:t>
      </w:r>
    </w:p>
    <w:p>
      <w:pPr>
        <w:spacing w:after="160" w:line="320" w:lineRule="auto"/>
        <w:jc w:val="both"/>
      </w:pPr>
      <w:r>
        <w:t xml:space="preserve">This entry documents a database security review, two data-retention changes, a methodological interface-language audit, and the removal of two unimplemented login options, applied during the development session of 28 June 2026.</w:t>
      </w:r>
    </w:p>
    <w:p>
      <w:pPr>
        <w:pStyle w:val="Heading2"/>
        <w:spacing w:after="160" w:line="320" w:lineRule="auto"/>
      </w:pPr>
      <w:r>
        <w:t xml:space="preserve">Row Level Security enabled on all remaining tables</w:t>
      </w:r>
    </w:p>
    <w:p>
      <w:pPr>
        <w:spacing w:after="160" w:line="320" w:lineRule="auto"/>
        <w:jc w:val="both"/>
      </w:pPr>
      <w:r>
        <w:t xml:space="preserve">A review of the Supabase database confirmed, by direct query against pg_tables, that Row Level Security was enabled only on the protests table (corrected in the 20 June 2026 migration) and was still disabled on every other table in the public schema. Although the frontend holds no Supabase client and all data flows through the Railway backend with the service-role key, the public anonymous key combined with PostgREST remained an attack surface independent of the frontend. Row Level Security was enabled, each with a service-role-only policy, on the fourteen remaining tables: groups, group_members, vouches, vouch_requests, invite_links, institutional_members, email_otp_requests, email_otp_rate_limit, platform_fund, financial_movements, kofi_protest_map, integrity_records, source_validations and admin_log. A repeat of the verification query now returns no tables with Row Level Security disabled. The migration is idempotent and safe to re-run.</w:t>
      </w:r>
    </w:p>
    <w:p>
      <w:pPr>
        <w:pStyle w:val="Heading2"/>
        <w:spacing w:after="160" w:line="320" w:lineRule="auto"/>
      </w:pPr>
      <w:r>
        <w:t xml:space="preserve">Soft-delete replaced by irreversible anonymisation at 90 days</w:t>
      </w:r>
    </w:p>
    <w:p>
      <w:pPr>
        <w:spacing w:after="160" w:line="320" w:lineRule="auto"/>
        <w:jc w:val="both"/>
      </w:pPr>
      <w:r>
        <w:t xml:space="preserve">The previous data-retention mechanism logically deleted individual adhesions 90 days after an event closed by setting a deleted_at marker, while leaving the underlying personal fields intact in the database as a deliberate safety net for disputes and audits. The review concluded that retaining personal data indefinitely behind a soft-delete flag was inconsistent with the platform’s minimisation principle. The mechanism was replaced by irreversible anonymisation: 90 days after closure, every individual or linkable field of an adhesion — phone hash, device identifier, nullifier, public commitment, fine-grained location, city and region — is permanently set to null, while the row itself is kept so that the closed public report retains its aggregate distribution. The auditable snapshot in integrity_records, which contains no personal data, is unaffected. A safety guard ensures a protest is only anonymised once its integrity record exists. The auditor reviewed and approved the change.</w:t>
      </w:r>
    </w:p>
    <w:p>
      <w:pPr>
        <w:pStyle w:val="Heading2"/>
        <w:spacing w:after="160" w:line="320" w:lineRule="auto"/>
      </w:pPr>
      <w:r>
        <w:t xml:space="preserve">Verified-device retention introduced (270 days of inactivity)</w:t>
      </w:r>
    </w:p>
    <w:p>
      <w:pPr>
        <w:spacing w:after="160" w:line="320" w:lineRule="auto"/>
        <w:jc w:val="both"/>
      </w:pPr>
      <w:r>
        <w:t xml:space="preserve">The devices table associates a random device identifier with a server-side HMAC pseudonym of the participant’s phone number. This association lets returning participants join later events without repeating SMS verification, and prevents duplicate participation. The review noted that this pseudonym was retained indefinitely by default, including for devices that verified once and never participated again — a persistent, correlatable identifier outliving any activity. A retention rule was introduced: a last_seen column, refreshed on each effective adhesion, now governs a 270-day inactivity window (three times the 90-day adhesion window). A daily job deletes any device with no adhesion for 270 days that is no longer referenced by an adhesion; because anonymised adhesions hold a null device identifier, an eligible device has no referencing rows and is removed safely. The window is sliding: a recurring participant never expires, while a device that returns after deletion simply re-verifies once by SMS. The privacy policy was updated in all four languages to declare this persistent identifier and its retention honestly, including the fact that, for a continuously active participant, the pseudonym persists for as long as participation continues.</w:t>
      </w:r>
    </w:p>
    <w:p>
      <w:pPr>
        <w:pStyle w:val="Heading2"/>
        <w:spacing w:after="160" w:line="320" w:lineRule="auto"/>
      </w:pPr>
      <w:r>
        <w:t xml:space="preserve">Interface-language audit across four locales</w:t>
      </w:r>
    </w:p>
    <w:p>
      <w:pPr>
        <w:spacing w:after="160" w:line="320" w:lineRule="auto"/>
        <w:jc w:val="both"/>
      </w:pPr>
      <w:r>
        <w:t xml:space="preserve">A methodological audit of the user-facing strings was conducted against a single principle: the interface must not overstate what the system verifies. Across the four locales (ES/EN/FR/ZH), wording that conflated evidence with conclusion, confidence with certainty, or participation with legitimacy was corrected. Geographic signals are now described as confidence evidence rather than as certifying location; institutional email verification is described as evidence supporting affiliation rather than proving it; a declared source is described as supporting the reported facts rather than proving them; and “proof of humanity” became “humanity signal”. The data-retention wording was aligned with the new anonymisation and device-retention rules. Key sets were kept identical across the four languages, and the Chinese strings were flagged for native-speaker review before the pilot.</w:t>
      </w:r>
    </w:p>
    <w:p>
      <w:pPr>
        <w:pStyle w:val="Heading2"/>
        <w:spacing w:after="160" w:line="320" w:lineRule="auto"/>
      </w:pPr>
      <w:r>
        <w:t xml:space="preserve">Unimplemented login options removed (World ID and high-risk mode)</w:t>
      </w:r>
    </w:p>
    <w:p>
      <w:pPr>
        <w:spacing w:after="160" w:line="320" w:lineRule="auto"/>
        <w:jc w:val="both"/>
      </w:pPr>
      <w:r>
        <w:t xml:space="preserve">The login screen’s advanced options presented two cards that, on tap, displayed only a “coming soon” notice. Neither had any implementation, dependency or backend logic. The World ID card additionally carried a “maximum verifiable privacy” badge, advertising as available a feature that did not exist. The high-risk-mode card was misleading in the opposite direction: it presented as a future feature a protection that is, in fact, already implemented and automatic — for events marked high or critical risk, the code already skips the GPS request entirely, so no location is collected, and the protest’s risk level is shown on its detail screen. Both cards, and the now-empty advanced-options accordion, were removed, and the nine orphaned interface strings were deleted from all four locales. The real, automatic high-risk protection is unchanged.</w:t>
      </w:r>
    </w:p>
    <w:p>
      <w:pPr>
        <w:pStyle w:val="Heading1"/>
      </w:pPr>
      <w:r>
        <w:t>Session corrections — July 2026</w:t>
      </w:r>
    </w:p>
    <w:p>
      <w:r>
        <w:t>This entry documents a set of changes applied during the development sessions of early July 2026: a change to how recipient institutions are validated, a broadening of the accepted abuse types, a new requirement for institutional events, and a redesign of the landing page around the map.</w:t>
      </w:r>
    </w:p>
    <w:p>
      <w:pPr>
        <w:pStyle w:val="Heading2"/>
      </w:pPr>
      <w:r>
        <w:t>Recipient validation moved to hierarchical Wikidata classification</w:t>
      </w:r>
    </w:p>
    <w:p>
      <w:r>
        <w:t>The server-side recipient check (16.4) previously matched a recipient’s declared Wikidata type against a flat list of accepted type identifiers. That list required a new manual entry for every institution type it did not yet cover — the additions logged in 7.7 (a Spanish city council, among others) were an example — and could never be complete. The check now traverses the Wikidata subclass hierarchy (instance-of, then subclass-of transitively) against a small set of public-authority classes, so a specific national institution type is recognised through its parent classes. An allowed public classification takes precedence over a rejected one, so a public enterprise is admitted while a private company or a political party is rejected; verdicts are cached. This supersedes the manual list-maintenance approach recorded in 7.7.</w:t>
      </w:r>
    </w:p>
    <w:p>
      <w:pPr>
        <w:pStyle w:val="Heading2"/>
      </w:pPr>
      <w:r>
        <w:t>Accepted abuse types broadened from seven to sixteen</w:t>
      </w:r>
    </w:p>
    <w:p>
      <w:r>
        <w:t>The closed list of accepted abuse types (16.1) was broadened from seven categories to sixteen, grouped in three families anchored to recognised frameworks: integrity and corruption (UN Convention against Corruption), maladministration (European Ombudsman and Article 41 of the EU Charter), and rights and liberties (ECHR and EU Charter), plus a residual ‘other public power abuse’. The frontend selector and the backend closed list are kept in exact synchronisation. The change widens the range of legitimate public grievances the platform can express without weakening the other three admission rules.</w:t>
      </w:r>
    </w:p>
    <w:p>
      <w:pPr>
        <w:pStyle w:val="Heading2"/>
      </w:pPr>
      <w:r>
        <w:t>Institutional country now mandatory</w:t>
      </w:r>
    </w:p>
    <w:p>
      <w:r>
        <w:t>Institutional convocatorias now declare the institution’s country as a mandatory field. Eligibility is unchanged — it remains membership of the approved email domain — but the declared country records the institution’s seat so the convocatoria can be placed on the map and reached through the new country-first navigation. This updates 20.6, which previously stated that institutional convocatorias declare no geographic entity; the country is a locator for discoverability only and produces no geographic breakdown of participants.</w:t>
      </w:r>
    </w:p>
    <w:p>
      <w:pPr>
        <w:pStyle w:val="Heading2"/>
      </w:pPr>
      <w:r>
        <w:t>Landing redesigned around country-first map navigation</w:t>
      </w:r>
    </w:p>
    <w:p>
      <w:r>
        <w:t>The landing page was reorganised so the map is the primary way to browse. On load it frames the user’s country — using the strongest signal available without a permission prompt (SIM country if known, otherwise IP country), and refining to the SIM country if it arrives later and the user has not moved the map — leaving neighbouring countries visible. Tapping a country recentres the map and filters the list to that country. The scope filter order was aligned to global, national, regional, local and institutional, matching the event-creation screen; institutional convocatorias are now shown as their own category, distinct from regional, in both the list and the map.</w:t>
      </w:r>
    </w:p>
    <w:p>
      <w:pPr>
        <w:pStyle w:val="Heading2"/>
      </w:pPr>
      <w:r>
        <w:t>Country names localised; service worker made deploy-safe</w:t>
      </w:r>
    </w:p>
    <w:p>
      <w:r>
        <w:t>Two smaller corrections. Country names in the convocatoria list are now localised to the interface language at render time, using the browser’s own Intl data, instead of a fixed string stored at creation. And the service worker was switched to a network-first strategy for the application shell, so a new deployment is picked up on the next load instead of after a stale-cache delay.</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p/>
    <w:p>
      <w:r>
        <w:t>――――――――――――――――――――――――――――――――――――――――</w:t>
      </w:r>
    </w:p>
    <w:p>
      <w:r>
        <w:rPr>
          <w:b/>
        </w:rPr>
        <w:t>Session corrections — July 2026 (second pass)</w:t>
      </w:r>
    </w:p>
    <w:p>
      <w:r>
        <w:rPr>
          <w:b w:val="0"/>
        </w:rPr>
        <w:t>Three corrections applied across canonical documents following review against the deployed codebase (v67):</w:t>
      </w:r>
    </w:p>
    <w:p>
      <w:r>
        <w:rPr>
          <w:b w:val="0"/>
        </w:rPr>
        <w:t>1. Methodology v3.5-beta → v1.0. The beta designation was removed. The document is now the canonical reference for participation verification. A changelog section was added.</w:t>
      </w:r>
    </w:p>
    <w:p>
      <w:r>
        <w:rPr>
          <w:b w:val="0"/>
        </w:rPr>
        <w:t>2. Integrity version 2 language corrected. The phrase "is available from integrity version 2" in both the Methodology (§6) and the AuditAlignment (§integrity) has been corrected to "will be available from integrity version 2". The internal seal (version 1) remains the only deployed mechanism. The correction removes a factual inaccuracy that overstated the current platform capabilities.</w:t>
      </w:r>
    </w:p>
    <w:p>
      <w:r>
        <w:rPr>
          <w:b w:val="0"/>
        </w:rPr>
        <w:t>3. Reliability score formula formalised. The score (60–95%) was implemented in the codebase but undocumented in any canonical reference. §4.1 has been added to the Methodology v1.0 documenting the exact formula: GPS+SIM+IP=95%, GPS+SIM=92%, SIM+IP=85%, SIM only=75%, IP only=60%. No code change — documentation only.</w:t>
      </w:r>
    </w:p>
    <w:p>
      <w:r>
        <w:rPr>
          <w:b w:val="0"/>
        </w:rPr>
        <w:t>4. Source admissibility clarified as unconditional. The phrase "where required" in §3 of the Methodology was ambiguous and has been removed. Source admissibility is required for all convocatorias without exception, consistent with the deployed backend schema.</w:t>
      </w:r>
    </w:p>
    <w:p>
      <w:r>
        <w:rPr>
          <w:b w:val="0"/>
        </w:rPr>
        <w:t>AuditAlignment updated to v2.2 incorporating correction #2. Methodology updated to v1.0 incorporating corrections #1, #2, #3, #4. Security Audit updated to v1.1 (status and changelog only).</w:t>
      </w:r>
    </w:p>
    <w:p>
      <w:pPr>
        <w:spacing w:after="160" w:line="320" w:lineRule="auto"/>
      </w:pPr>
      <w:r>
        <w:t xml:space="preserve">――――――――――――――――――――――――――――――――――――――――</w:t>
      </w:r>
    </w:p>
    <w:p>
      <w:pPr>
        <w:pStyle w:val="Heading1"/>
        <w:spacing w:after="200" w:line="320" w:lineRule="auto"/>
      </w:pPr>
      <w:r>
        <w:rPr>
          <w:b/>
          <w:color w:val="1A1A1A"/>
          <w:sz w:val="30"/>
          <w:szCs w:val="30"/>
        </w:rPr>
        <w:t xml:space="preserve">Session corrections — 12 July 2026</w:t>
      </w:r>
    </w:p>
    <w:p>
      <w:pPr>
        <w:spacing w:after="160" w:line="320" w:lineRule="auto"/>
      </w:pPr>
      <w:r>
        <w:t xml:space="preserve">An end-to-end testing session was conducted against a live regional convocatoria (Cantabria, based on the Las Llamas case in Santander), using real Spanish SIM adhesions from Santander and iterating through public reports across codebase versions v68 to v73. All test convocatorias and adhesions were deleted afterwards. The session produced ten implementation fixes, two design decisions, one piece of empirical evidence for the Methodology, and updates to two canonical documents. Full technical detail per fix lives in the repository audit trail; this entry records what changed at the documentation level and why.</w:t>
      </w:r>
    </w:p>
    <w:p>
      <w:pPr>
        <w:spacing w:after="160" w:line="320" w:lineRule="auto"/>
      </w:pPr>
      <w:r>
        <w:rPr>
          <w:b/>
        </w:rPr>
        <w:t xml:space="preserve">1. Territorial classification fixes.</w:t>
      </w:r>
    </w:p>
    <w:p>
      <w:pPr>
        <w:spacing w:after="160" w:line="320" w:lineRule="auto"/>
      </w:pPr>
      <w:r>
        <w:t xml:space="preserve">Three independent conditions written for the local scope only ("local-only family") silently broke the regional path: the reinforce button was not shown, the reverse-geocode zoom level was wrong, and — critically — the single-use GPS update token was never issued for regional convocatorias, making the entire regional reinforcement flow unreachable. Separately, the national/international grouping of the public report compared localized country names from mixed-language providers ("Spain" vs "España"), misclassifying every domestic no-GPS adhesion as international. Fixed with a new pais_code column (ISO 3166-1 alpha-2, migration 20260712_adhesions_pais_code.sql) captured at verification time; classification now compares codes, never names. Lesson recorded: every condition on a shared local/regional code path is a silent failure point; territorial features must be tested in both scopes from day one.</w:t>
      </w:r>
    </w:p>
    <w:p>
      <w:pPr>
        <w:spacing w:after="160" w:line="320" w:lineRule="auto"/>
      </w:pPr>
      <w:r>
        <w:rPr>
          <w:b/>
        </w:rPr>
        <w:t xml:space="preserve">2. Reliability of the reinforcement chain.</w:t>
      </w:r>
    </w:p>
    <w:p>
      <w:pPr>
        <w:spacing w:after="160" w:line="320" w:lineRule="auto"/>
      </w:pPr>
      <w:r>
        <w:t xml:space="preserve">The insert of the GPS update token did not check its error result: on failure the backend still returned the generated token to the client (a "phantom token"), producing undiagnosable 404s. The insert is now error-checked and the full reinforcement path is instrumented with structured logs. The client previously gave implicit visual confirmation when the browser granted the GPS permission regardless of server outcome; confirmation is now shown only on a successful server response, and failures surface an explicit error in all four languages.</w:t>
      </w:r>
    </w:p>
    <w:p>
      <w:pPr>
        <w:spacing w:after="160" w:line="320" w:lineRule="auto"/>
      </w:pPr>
      <w:r>
        <w:rPr>
          <w:b/>
        </w:rPr>
        <w:t xml:space="preserve">3. Design decision — reinforcement token persistence (revision of a June 2026 decision).</w:t>
      </w:r>
    </w:p>
    <w:p>
      <w:pPr>
        <w:spacing w:after="160" w:line="320" w:lineRule="auto"/>
      </w:pPr>
      <w:r>
        <w:t xml:space="preserve">The June decision stored the single-use GPS update token in sessionStorage ("expires with session"), which in practice reduced the token’s 24-hour window to "until the tab closes" — unusable on mobile. Revised: the token is now persisted client-side with an explicit 24-hour expiry, removed on use, expiry or failure. Privacy cost assessed as negligible: the token is a random single-use UUID carrying no personal data. This enables the intended use case (join from home, reinforce from the neighbourhood) and a re-entry card on the convocatoria detail screen while the token is alive.</w:t>
      </w:r>
    </w:p>
    <w:p>
      <w:pPr>
        <w:spacing w:after="160" w:line="320" w:lineRule="auto"/>
      </w:pPr>
      <w:r>
        <w:rPr>
          <w:b/>
        </w:rPr>
        <w:t xml:space="preserve">4. Design decision — the geographic signal is offered at the moment of joining.</w:t>
      </w:r>
    </w:p>
    <w:p>
      <w:pPr>
        <w:spacing w:after="160" w:line="320" w:lineRule="auto"/>
      </w:pPr>
      <w:r>
        <w:t xml:space="preserve">For local and regional convocatorias, a one-time interstitial now appears when the participant taps "Join": it explains that location turns the adhesion into verified territorial evidence in the public report, states that coordinates are never stored (only the derived administrative area), and offers two equivalent choices — enable location, or continue without. Both proceed to verification; the choice is remembered per convocatoria so the prompt never repeats. Rationale: location granted at joining travels with the adhesion itself, removing the dependency on the reinforcement chain (empirically the most fragile path in the system), while the post-adhesion reinforcement remains as a safety net. Location remains optional and non-gating, consistent with the 21 June 2026 design note.</w:t>
      </w:r>
    </w:p>
    <w:p>
      <w:pPr>
        <w:spacing w:after="160" w:line="320" w:lineRule="auto"/>
      </w:pPr>
      <w:r>
        <w:rPr>
          <w:b/>
        </w:rPr>
        <w:t xml:space="preserve">5. Empirical evidence for the Methodology.</w:t>
      </w:r>
    </w:p>
    <w:p>
      <w:pPr>
        <w:spacing w:after="160" w:line="320" w:lineRule="auto"/>
      </w:pPr>
      <w:r>
        <w:t xml:space="preserve">During testing, SIMs physically located in Santander were geolocated by mobile-carrier IP to Llodio (Basque Country), Badajoz (Extremadura) and Madrid across successive reports in the same morning. This confirms the design premise that mobile-carrier IP geolocation resolves to operator gateways, not to the participant’s location, and is now cited in the Methodology as the empirical basis for never counting IP as territorial evidence. The test report PDFs are retained as an annex.</w:t>
      </w:r>
    </w:p>
    <w:p>
      <w:pPr>
        <w:spacing w:after="160" w:line="320" w:lineRule="auto"/>
      </w:pPr>
      <w:r>
        <w:rPr>
          <w:b/>
        </w:rPr>
        <w:t xml:space="preserve">6. Additional fixes.</w:t>
      </w:r>
    </w:p>
    <w:p>
      <w:pPr>
        <w:spacing w:after="160" w:line="320" w:lineRule="auto"/>
      </w:pPr>
      <w:r>
        <w:t xml:space="preserve">The share message generated immediately after joining fell back to a generic platform link with no title (the route carried no convocatoria id at that moment); it now includes the convocatoria title and a direct link in all four languages. Regional convocatorias were rendered at the country centroid on the map instead of at the selected region’s coordinates. The public report PDF did not export the territorial verification block (its principal evidence). The phone-verification screen showed no information about what was being joined; it now shows the convocatoria’s title, target, description and demands — informed participation at the moment of consent.</w:t>
      </w:r>
    </w:p>
    <w:p>
      <w:pPr>
        <w:spacing w:after="160" w:line="320" w:lineRule="auto"/>
      </w:pPr>
      <w:r>
        <w:t xml:space="preserve">Documents updated in this session: Methodology v1.0 → v1.1 (§2 documents the moment of the geographic signal and the 24-hour reinforcement window; §4 documents the empirical IP limitation and the ISO-code basis of country classification). Security Audit v1.1 → v1.2 (classification-integrity fixes and hardening documented; attack surface unchanged). The master design document’s user-flow section, data model and history were updated to match. The AuditAlignment (v2.2) was verified against every change in this session and required no modification: no claim it makes — location as optional and non-gating, classification as informative rather than exclusionary, GPS contributing to reliability rather than eligibility — is altered by any of the above. It remains at v2.2; recording that verification here is the change.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