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pPr>
      <w:r>
        <w:rPr>
          <w:b/>
          <w:bCs/>
          <w:caps/>
          <w:color w:val="1B7F4D"/>
          <w:sz w:val="22"/>
          <w:szCs w:val="22"/>
        </w:rPr>
        <w:t xml:space="preserve">AUDIT TRAIL</w:t>
      </w:r>
    </w:p>
    <w:p>
      <w:pPr>
        <w:spacing w:after="200"/>
      </w:pPr>
      <w:r>
        <w:rPr>
          <w:b/>
          <w:bCs/>
          <w:color w:val="1A1A1A"/>
          <w:sz w:val="44"/>
          <w:szCs w:val="44"/>
        </w:rPr>
        <w:t xml:space="preserve">From Attack Vectors to Audit Alignment Framework</w:t>
      </w:r>
    </w:p>
    <w:p>
      <w:pPr>
        <w:spacing w:after="600"/>
      </w:pPr>
      <w:r>
        <w:rPr>
          <w:color w:val="595959"/>
          <w:sz w:val="24"/>
          <w:szCs w:val="24"/>
        </w:rPr>
        <w:t xml:space="preserve">A documented record of auditor-driven corrections to Voice Protest's public defence reference, June 2026</w:t>
      </w:r>
    </w:p>
    <w:p>
      <w:pPr>
        <w:pBdr>
          <w:bottom w:val="single" w:color="D9D9D9" w:sz="4" w:space="1"/>
        </w:pBdr>
        <w:spacing w:after="200"/>
      </w:pPr>
    </w:p>
    <w:p>
      <w:pPr>
        <w:spacing w:after="160" w:line="300"/>
        <w:jc w:val="left"/>
      </w:pPr>
      <w:r>
        <w:rPr>
          <w:b w:val="false"/>
          <w:bCs w:val="false"/>
          <w:i w:val="false"/>
          <w:iCs w:val="false"/>
          <w:color w:val="1A1A1A"/>
          <w:sz w:val="21"/>
          <w:szCs w:val="21"/>
        </w:rPr>
        <w:t xml:space="preserve">This document exists to make the evolution of Voice Protest's canonical defence reference traceable: what was said before, what an external technical and epistemological audit flagged, what changed, and why. It covers three successive documents and one pending revision.</w:t>
      </w:r>
    </w:p>
    <w:p>
      <w:pPr>
        <w:spacing w:after="200"/>
      </w:pPr>
    </w:p>
    <w:p>
      <w:pPr>
        <w:pStyle w:val="Heading2"/>
        <w:spacing w:after="120" w:before="300"/>
      </w:pPr>
      <w:r>
        <w:rPr>
          <w:b/>
          <w:bCs/>
          <w:color w:val="1B7F4D"/>
          <w:sz w:val="24"/>
          <w:szCs w:val="24"/>
        </w:rPr>
        <w:t xml:space="preserve">Documents in this trail</w:t>
      </w:r>
    </w:p>
    <w:p>
      <w:pPr>
        <w:pStyle w:val="ListParagraph"/>
        <w:numPr>
          <w:ilvl w:val="0"/>
          <w:numId w:val="2"/>
        </w:numPr>
        <w:spacing w:after="90" w:line="280"/>
      </w:pPr>
      <w:r>
        <w:rPr>
          <w:b w:val="false"/>
          <w:bCs w:val="false"/>
          <w:color w:val="1A1A1A"/>
          <w:sz w:val="21"/>
          <w:szCs w:val="21"/>
        </w:rPr>
        <w:t xml:space="preserve">Document A — "Attack Vectors &amp; Responses" (internal, June 2026). Tactical, defensive, organised as attack/response pairs.</w:t>
      </w:r>
    </w:p>
    <w:p>
      <w:pPr>
        <w:pStyle w:val="ListParagraph"/>
        <w:numPr>
          <w:ilvl w:val="0"/>
          <w:numId w:val="2"/>
        </w:numPr>
        <w:spacing w:after="90" w:line="280"/>
      </w:pPr>
      <w:r>
        <w:rPr>
          <w:b w:val="false"/>
          <w:bCs w:val="false"/>
          <w:color w:val="1A1A1A"/>
          <w:sz w:val="21"/>
          <w:szCs w:val="21"/>
        </w:rPr>
        <w:t xml:space="preserve">Document B — Auditor's review notes (June 2026). A structured set of corrections and additions delivered in prose, not yet integrated.</w:t>
      </w:r>
    </w:p>
    <w:p>
      <w:pPr>
        <w:pStyle w:val="ListParagraph"/>
        <w:numPr>
          <w:ilvl w:val="0"/>
          <w:numId w:val="2"/>
        </w:numPr>
        <w:spacing w:after="90" w:line="280"/>
      </w:pPr>
      <w:r>
        <w:rPr>
          <w:b w:val="false"/>
          <w:bCs w:val="false"/>
          <w:color w:val="1A1A1A"/>
          <w:sz w:val="21"/>
          <w:szCs w:val="21"/>
        </w:rPr>
        <w:t xml:space="preserve">Document C — "Audit Alignment, Threat Model and Participation Framework" v2.0 (June 2026). First integration attempt, restructured around a foundational principle.</w:t>
      </w:r>
    </w:p>
    <w:p>
      <w:pPr>
        <w:pStyle w:val="ListParagraph"/>
        <w:numPr>
          <w:ilvl w:val="0"/>
          <w:numId w:val="2"/>
        </w:numPr>
        <w:spacing w:after="90" w:line="280"/>
      </w:pPr>
      <w:r>
        <w:rPr>
          <w:b w:val="false"/>
          <w:bCs w:val="false"/>
          <w:color w:val="1A1A1A"/>
          <w:sz w:val="21"/>
          <w:szCs w:val="21"/>
        </w:rPr>
        <w:t xml:space="preserve">Document D — Auditor's second-pass review of Document C (June 2026). Confirms direction but withholds canonical status pending further terminology cleanup.</w:t>
      </w:r>
    </w:p>
    <w:p>
      <w:r>
        <w:br w:type="page"/>
      </w:r>
    </w:p>
    <w:p>
      <w:pPr>
        <w:pStyle w:val="Heading1"/>
        <w:pBdr>
          <w:bottom w:val="single" w:color="1B7F4D" w:sz="6" w:space="4"/>
        </w:pBdr>
        <w:spacing w:after="200" w:before="400"/>
      </w:pPr>
      <w:r>
        <w:rPr>
          <w:b/>
          <w:bCs/>
          <w:color w:val="1A1A1A"/>
          <w:sz w:val="30"/>
          <w:szCs w:val="30"/>
        </w:rPr>
        <w:t xml:space="preserve">1. Why Document A was revised</w:t>
      </w:r>
    </w:p>
    <w:p>
      <w:pPr>
        <w:spacing w:after="160" w:line="300"/>
        <w:jc w:val="left"/>
      </w:pPr>
      <w:r>
        <w:rPr>
          <w:b w:val="false"/>
          <w:bCs w:val="false"/>
          <w:i w:val="false"/>
          <w:iCs w:val="false"/>
          <w:color w:val="1A1A1A"/>
          <w:sz w:val="21"/>
          <w:szCs w:val="21"/>
        </w:rPr>
        <w:t xml:space="preserve">Document A ("Attack Vectors &amp; Responses") was written as an internal tactical playbook: thirteen specific attacks, each with a "technical reality" and a ready-to-publish "Public response" quote. It served its purpose for rapid internal preparation, but the auditor's review (Document B) identified that its register — defensive, quote-ready, organised around refuting specific accusations — was structurally unsuited to becoming the platform's canonical reference. A document built to win arguments is not the same as a document built to state limits accurately.</w:t>
      </w:r>
    </w:p>
    <w:p>
      <w:pPr>
        <w:spacing w:after="160" w:line="300"/>
        <w:jc w:val="left"/>
      </w:pPr>
      <w:r>
        <w:rPr>
          <w:b w:val="false"/>
          <w:bCs w:val="false"/>
          <w:i w:val="false"/>
          <w:iCs w:val="false"/>
          <w:color w:val="1A1A1A"/>
          <w:sz w:val="21"/>
          <w:szCs w:val="21"/>
        </w:rPr>
        <w:t xml:space="preserve">The auditor's stated criteria for the revision were twofold: that every claim be demonstrably true of the deployed code, and that every claim be defensible in front of a hostile auditor, a critical journalist, or a sceptical academic. Four specific corrections and four new sections were required to meet that bar.</w:t>
      </w:r>
    </w:p>
    <w:p>
      <w:pPr>
        <w:pStyle w:val="Heading1"/>
        <w:pBdr>
          <w:bottom w:val="single" w:color="1B7F4D" w:sz="6" w:space="4"/>
        </w:pBdr>
        <w:spacing w:after="200" w:before="400"/>
      </w:pPr>
      <w:r>
        <w:rPr>
          <w:b/>
          <w:bCs/>
          <w:color w:val="1A1A1A"/>
          <w:sz w:val="30"/>
          <w:szCs w:val="30"/>
        </w:rPr>
        <w:t xml:space="preserve">2. Corrections to existing language</w:t>
      </w:r>
    </w:p>
    <w:p>
      <w:pPr>
        <w:spacing w:after="160" w:line="300"/>
        <w:jc w:val="left"/>
      </w:pPr>
      <w:r>
        <w:rPr>
          <w:b w:val="false"/>
          <w:bCs w:val="false"/>
          <w:i w:val="false"/>
          <w:iCs w:val="false"/>
          <w:color w:val="1A1A1A"/>
          <w:sz w:val="21"/>
          <w:szCs w:val="21"/>
        </w:rPr>
        <w:t xml:space="preserve">The auditor identified four places where Document A's language overstated what the platform actually verifies or could credibly claim.</w:t>
      </w:r>
    </w:p>
    <w:p>
      <w:pPr>
        <w:pStyle w:val="Heading2"/>
        <w:spacing w:after="120" w:before="300"/>
      </w:pPr>
      <w:r>
        <w:rPr>
          <w:b/>
          <w:bCs/>
          <w:color w:val="1B7F4D"/>
          <w:sz w:val="24"/>
          <w:szCs w:val="24"/>
        </w:rPr>
        <w:t xml:space="preserve">2.1 — Citizenship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160"/>
              <w:left w:type="dxa" w:w="200"/>
              <w:bottom w:type="dxa" w:w="160"/>
              <w:right w:type="dxa" w:w="200"/>
            </w:tcMar>
          </w:tcPr>
          <w:p>
            <w:pPr>
              <w:spacing w:after="80"/>
            </w:pPr>
            <w:r>
              <w:rPr>
                <w:b/>
                <w:bCs/>
                <w:caps/>
                <w:color w:val="B23A3A"/>
                <w:sz w:val="18"/>
                <w:szCs w:val="18"/>
              </w:rPr>
              <w:t xml:space="preserve">Before (Document A)</w:t>
            </w:r>
          </w:p>
          <w:p>
            <w:pPr>
              <w:spacing w:after="160"/>
            </w:pPr>
            <w:r>
              <w:rPr>
                <w:i/>
                <w:iCs/>
                <w:color w:val="595959"/>
                <w:sz w:val="20"/>
                <w:szCs w:val="20"/>
              </w:rPr>
              <w:t xml:space="preserve">"citizens", "citizenship", "verified citizens", "national citizens" — used throughout Category 2 (geographic eligibility) to describe who is eligible to participate.</w:t>
            </w:r>
          </w:p>
          <w:p>
            <w:pPr>
              <w:spacing w:after="80"/>
            </w:pPr>
            <w:r>
              <w:rPr>
                <w:b/>
                <w:bCs/>
                <w:caps/>
                <w:color w:val="1B7F4D"/>
                <w:sz w:val="18"/>
                <w:szCs w:val="18"/>
              </w:rPr>
              <w:t xml:space="preserve">After (auditor's correction)</w:t>
            </w:r>
          </w:p>
          <w:p>
            <w:pPr>
              <w:spacing w:after="160"/>
            </w:pPr>
            <w:r>
              <w:rPr>
                <w:color w:val="1A1A1A"/>
                <w:sz w:val="20"/>
                <w:szCs w:val="20"/>
              </w:rPr>
              <w:t xml:space="preserve">"verified participants", "participants linked to the relevant community", "nationally affiliated participants".</w:t>
            </w:r>
          </w:p>
          <w:p>
            <w:r>
              <w:rPr>
                <w:b/>
                <w:bCs/>
                <w:color w:val="1A1A1A"/>
                <w:sz w:val="19"/>
                <w:szCs w:val="19"/>
              </w:rPr>
              <w:t xml:space="preserve">Reason: </w:t>
            </w:r>
            <w:r>
              <w:rPr>
                <w:color w:val="595959"/>
                <w:sz w:val="19"/>
                <w:szCs w:val="19"/>
              </w:rPr>
              <w:t xml:space="preserve">Voice Protest verifies SIM affiliation or institutional email membership — not legal citizenship. The platform has no access to civil registries and cannot make a legal citizenship determination. Using "citizenship" language implies a legal claim the system cannot support.</w:t>
            </w:r>
          </w:p>
        </w:tc>
      </w:tr>
    </w:tbl>
    <w:p>
      <w:pPr>
        <w:spacing w:after="120"/>
      </w:pPr>
    </w:p>
    <w:p>
      <w:pPr>
        <w:pStyle w:val="Heading2"/>
        <w:spacing w:after="120" w:before="300"/>
      </w:pPr>
      <w:r>
        <w:rPr>
          <w:b/>
          <w:bCs/>
          <w:color w:val="1B7F4D"/>
          <w:sz w:val="24"/>
          <w:szCs w:val="24"/>
        </w:rPr>
        <w:t xml:space="preserve">2.2 — Criminal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160"/>
              <w:left w:type="dxa" w:w="200"/>
              <w:bottom w:type="dxa" w:w="160"/>
              <w:right w:type="dxa" w:w="200"/>
            </w:tcMar>
          </w:tcPr>
          <w:p>
            <w:pPr>
              <w:spacing w:after="80"/>
            </w:pPr>
            <w:r>
              <w:rPr>
                <w:b/>
                <w:bCs/>
                <w:caps/>
                <w:color w:val="B23A3A"/>
                <w:sz w:val="18"/>
                <w:szCs w:val="18"/>
              </w:rPr>
              <w:t xml:space="preserve">Before (Document A)</w:t>
            </w:r>
          </w:p>
          <w:p>
            <w:pPr>
              <w:spacing w:after="160"/>
            </w:pPr>
            <w:r>
              <w:rPr>
                <w:i/>
                <w:iCs/>
                <w:color w:val="595959"/>
                <w:sz w:val="20"/>
                <w:szCs w:val="20"/>
              </w:rPr>
              <w:t xml:space="preserve">"criminal offence", "illegal activity", "criminal fraud" — used when describing SIM farming and large-scale manipulation attempts.</w:t>
            </w:r>
          </w:p>
          <w:p>
            <w:pPr>
              <w:spacing w:after="80"/>
            </w:pPr>
            <w:r>
              <w:rPr>
                <w:b/>
                <w:bCs/>
                <w:caps/>
                <w:color w:val="1B7F4D"/>
                <w:sz w:val="18"/>
                <w:szCs w:val="18"/>
              </w:rPr>
              <w:t xml:space="preserve">After (auditor's correction)</w:t>
            </w:r>
          </w:p>
          <w:p>
            <w:pPr>
              <w:spacing w:after="160"/>
            </w:pPr>
            <w:r>
              <w:rPr>
                <w:color w:val="1A1A1A"/>
                <w:sz w:val="20"/>
                <w:szCs w:val="20"/>
              </w:rPr>
              <w:t xml:space="preserve">"may violate local laws or regulations", "may breach terms of service".</w:t>
            </w:r>
          </w:p>
          <w:p>
            <w:r>
              <w:rPr>
                <w:b/>
                <w:bCs/>
                <w:color w:val="1A1A1A"/>
                <w:sz w:val="19"/>
                <w:szCs w:val="19"/>
              </w:rPr>
              <w:t xml:space="preserve">Reason: </w:t>
            </w:r>
            <w:r>
              <w:rPr>
                <w:color w:val="595959"/>
                <w:sz w:val="19"/>
                <w:szCs w:val="19"/>
              </w:rPr>
              <w:t xml:space="preserve">Voice Protest is not a judicial authority and cannot characterise conduct as criminal. That determination belongs to courts and law enforcement in the relevant jurisdiction.</w:t>
            </w:r>
          </w:p>
        </w:tc>
      </w:tr>
    </w:tbl>
    <w:p>
      <w:pPr>
        <w:spacing w:after="120"/>
      </w:pPr>
    </w:p>
    <w:p>
      <w:pPr>
        <w:pStyle w:val="Heading2"/>
        <w:spacing w:after="120" w:before="300"/>
      </w:pPr>
      <w:r>
        <w:rPr>
          <w:b/>
          <w:bCs/>
          <w:color w:val="1B7F4D"/>
          <w:sz w:val="24"/>
          <w:szCs w:val="24"/>
        </w:rPr>
        <w:t xml:space="preserve">2.3 — Jurisdiction-specific SIM regulation claims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160"/>
              <w:left w:type="dxa" w:w="200"/>
              <w:bottom w:type="dxa" w:w="160"/>
              <w:right w:type="dxa" w:w="200"/>
            </w:tcMar>
          </w:tcPr>
          <w:p>
            <w:pPr>
              <w:spacing w:after="80"/>
            </w:pPr>
            <w:r>
              <w:rPr>
                <w:b/>
                <w:bCs/>
                <w:caps/>
                <w:color w:val="B23A3A"/>
                <w:sz w:val="18"/>
                <w:szCs w:val="18"/>
              </w:rPr>
              <w:t xml:space="preserve">Before (Document A)</w:t>
            </w:r>
          </w:p>
          <w:p>
            <w:pPr>
              <w:spacing w:after="160"/>
            </w:pPr>
            <w:r>
              <w:rPr>
                <w:i/>
                <w:iCs/>
                <w:color w:val="595959"/>
                <w:sz w:val="20"/>
                <w:szCs w:val="20"/>
              </w:rPr>
              <w:t xml:space="preserve">"In the EU, SIM registration laws since 2023 require ID verification in most countries."</w:t>
            </w:r>
          </w:p>
          <w:p>
            <w:pPr>
              <w:spacing w:after="80"/>
            </w:pPr>
            <w:r>
              <w:rPr>
                <w:b/>
                <w:bCs/>
                <w:caps/>
                <w:color w:val="1B7F4D"/>
                <w:sz w:val="18"/>
                <w:szCs w:val="18"/>
              </w:rPr>
              <w:t xml:space="preserve">After (auditor's correction)</w:t>
            </w:r>
          </w:p>
          <w:p>
            <w:pPr>
              <w:spacing w:after="160"/>
            </w:pPr>
            <w:r>
              <w:rPr>
                <w:color w:val="1A1A1A"/>
                <w:sz w:val="20"/>
                <w:szCs w:val="20"/>
              </w:rPr>
              <w:t xml:space="preserve">"The cost and traceability of obtaining large numbers of SIM cards varies by jurisdiction, but is generally higher than creating email accounts or petition signatures."</w:t>
            </w:r>
          </w:p>
          <w:p>
            <w:r>
              <w:rPr>
                <w:b/>
                <w:bCs/>
                <w:color w:val="1A1A1A"/>
                <w:sz w:val="19"/>
                <w:szCs w:val="19"/>
              </w:rPr>
              <w:t xml:space="preserve">Reason: </w:t>
            </w:r>
            <w:r>
              <w:rPr>
                <w:color w:val="595959"/>
                <w:sz w:val="19"/>
                <w:szCs w:val="19"/>
              </w:rPr>
              <w:t xml:space="preserve">Specific dates and jurisdiction counts age quickly and are easy for a critical reader to fact-check and disprove in any single counter-example. The corrected language makes the same point — that SIM acquisition has a real cost — without a falsifiable factual claim.</w:t>
            </w:r>
          </w:p>
        </w:tc>
      </w:tr>
    </w:tbl>
    <w:p>
      <w:pPr>
        <w:spacing w:after="120"/>
      </w:pPr>
    </w:p>
    <w:p>
      <w:pPr>
        <w:pStyle w:val="Heading2"/>
        <w:spacing w:after="120" w:before="300"/>
      </w:pPr>
      <w:r>
        <w:rPr>
          <w:b/>
          <w:bCs/>
          <w:color w:val="1B7F4D"/>
          <w:sz w:val="24"/>
          <w:szCs w:val="24"/>
        </w:rPr>
        <w:t xml:space="preserve">2.4 — Absolute auditability claims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160"/>
              <w:left w:type="dxa" w:w="200"/>
              <w:bottom w:type="dxa" w:w="160"/>
              <w:right w:type="dxa" w:w="200"/>
            </w:tcMar>
          </w:tcPr>
          <w:p>
            <w:pPr>
              <w:spacing w:after="80"/>
            </w:pPr>
            <w:r>
              <w:rPr>
                <w:b/>
                <w:bCs/>
                <w:caps/>
                <w:color w:val="B23A3A"/>
                <w:sz w:val="18"/>
                <w:szCs w:val="18"/>
              </w:rPr>
              <w:t xml:space="preserve">Before (Document A)</w:t>
            </w:r>
          </w:p>
          <w:p>
            <w:pPr>
              <w:spacing w:after="160"/>
            </w:pPr>
            <w:r>
              <w:rPr>
                <w:i/>
                <w:iCs/>
                <w:color w:val="595959"/>
                <w:sz w:val="20"/>
                <w:szCs w:val="20"/>
              </w:rPr>
              <w:t xml:space="preserve">"Any auditor would detect manipulation" (implied across Category 1 and Category 3 responses).</w:t>
            </w:r>
          </w:p>
          <w:p>
            <w:pPr>
              <w:spacing w:after="80"/>
            </w:pPr>
            <w:r>
              <w:rPr>
                <w:b/>
                <w:bCs/>
                <w:caps/>
                <w:color w:val="1B7F4D"/>
                <w:sz w:val="18"/>
                <w:szCs w:val="18"/>
              </w:rPr>
              <w:t xml:space="preserve">After (auditor's correction)</w:t>
            </w:r>
          </w:p>
          <w:p>
            <w:pPr>
              <w:spacing w:after="160"/>
            </w:pPr>
            <w:r>
              <w:rPr>
                <w:color w:val="1A1A1A"/>
                <w:sz w:val="20"/>
                <w:szCs w:val="20"/>
              </w:rPr>
              <w:t xml:space="preserve">"Manipulation attempts would be subject to independent audit, integrity verification and consistency checks."</w:t>
            </w:r>
          </w:p>
          <w:p>
            <w:r>
              <w:rPr>
                <w:b/>
                <w:bCs/>
                <w:color w:val="1A1A1A"/>
                <w:sz w:val="19"/>
                <w:szCs w:val="19"/>
              </w:rPr>
              <w:t xml:space="preserve">Reason: </w:t>
            </w:r>
            <w:r>
              <w:rPr>
                <w:color w:val="595959"/>
                <w:sz w:val="19"/>
                <w:szCs w:val="19"/>
              </w:rPr>
              <w:t xml:space="preserve">The original framing claims a guaranteed detection outcome. The corrected framing accurately describes that mechanisms for detection exist, without promising they will always succeed.</w:t>
            </w:r>
          </w:p>
        </w:tc>
      </w:tr>
    </w:tbl>
    <w:p>
      <w:r>
        <w:br w:type="page"/>
      </w:r>
    </w:p>
    <w:p>
      <w:pPr>
        <w:pStyle w:val="Heading1"/>
        <w:pBdr>
          <w:bottom w:val="single" w:color="1B7F4D" w:sz="6" w:space="4"/>
        </w:pBdr>
        <w:spacing w:after="200" w:before="400"/>
      </w:pPr>
      <w:r>
        <w:rPr>
          <w:b/>
          <w:bCs/>
          <w:color w:val="1A1A1A"/>
          <w:sz w:val="30"/>
          <w:szCs w:val="30"/>
        </w:rPr>
        <w:t xml:space="preserve">3. New sections added</w:t>
      </w:r>
    </w:p>
    <w:p>
      <w:pPr>
        <w:spacing w:after="160" w:line="300"/>
        <w:jc w:val="left"/>
      </w:pPr>
      <w:r>
        <w:rPr>
          <w:b w:val="false"/>
          <w:bCs w:val="false"/>
          <w:i w:val="false"/>
          <w:iCs w:val="false"/>
          <w:color w:val="1A1A1A"/>
          <w:sz w:val="21"/>
          <w:szCs w:val="21"/>
        </w:rPr>
        <w:t xml:space="preserve">Beyond correcting existing language, the auditor identified four gaps — claims the document needed to make explicit rather than leave implied or unaddressed.</w:t>
      </w:r>
    </w:p>
    <w:p>
      <w:pPr>
        <w:pStyle w:val="Heading2"/>
        <w:spacing w:after="120" w:before="300"/>
      </w:pPr>
      <w:r>
        <w:rPr>
          <w:b/>
          <w:bCs/>
          <w:color w:val="1B7F4D"/>
          <w:sz w:val="24"/>
          <w:szCs w:val="24"/>
        </w:rPr>
        <w:t xml:space="preserve">3.1 — Scope of Measurement</w:t>
      </w:r>
    </w:p>
    <w:p>
      <w:pPr>
        <w:spacing w:after="160" w:line="300"/>
        <w:jc w:val="left"/>
      </w:pPr>
      <w:r>
        <w:rPr>
          <w:b w:val="false"/>
          <w:bCs w:val="false"/>
          <w:i w:val="false"/>
          <w:iCs w:val="false"/>
          <w:color w:val="1A1A1A"/>
          <w:sz w:val="21"/>
          <w:szCs w:val="21"/>
        </w:rPr>
        <w:t xml:space="preserve">Document A had no direct response to the attack "Voice Protest only measures its own users." The auditor's addition states plainly that Voice Protest does not measure society — it measures verified participation among people who voluntarily choose to participate, a limitation explicit and inherent to demonstrations, petitions, referenda and surveys alike. The platform makes no claim to represent non-participants.</w:t>
      </w:r>
    </w:p>
    <w:p>
      <w:pPr>
        <w:pStyle w:val="Heading2"/>
        <w:spacing w:after="120" w:before="300"/>
      </w:pPr>
      <w:r>
        <w:rPr>
          <w:b/>
          <w:bCs/>
          <w:color w:val="1B7F4D"/>
          <w:sz w:val="24"/>
          <w:szCs w:val="24"/>
        </w:rPr>
        <w:t xml:space="preserve">3.2 — What Voice Protest Does Not Measure</w:t>
      </w:r>
    </w:p>
    <w:p>
      <w:pPr>
        <w:spacing w:after="160" w:line="300"/>
        <w:jc w:val="left"/>
      </w:pPr>
      <w:r>
        <w:rPr>
          <w:b w:val="false"/>
          <w:bCs w:val="false"/>
          <w:i w:val="false"/>
          <w:iCs w:val="false"/>
          <w:color w:val="1A1A1A"/>
          <w:sz w:val="21"/>
          <w:szCs w:val="21"/>
        </w:rPr>
        <w:t xml:space="preserve">A companion to the platform's existing data-inventory transparency (what is stored / not stored), but applied to measurement rather than storage. Voice Protest measures verified participation, participation growth, and participation distribution. It explicitly does not measure public opinion, silent support, silent opposition, legitimacy, or electoral preference. Any interpretation beyond verified participation belongs to external observers, not the platform.</w:t>
      </w:r>
    </w:p>
    <w:p>
      <w:pPr>
        <w:pStyle w:val="Heading2"/>
        <w:spacing w:after="120" w:before="300"/>
      </w:pPr>
      <w:r>
        <w:rPr>
          <w:b/>
          <w:bCs/>
          <w:color w:val="1B7F4D"/>
          <w:sz w:val="24"/>
          <w:szCs w:val="24"/>
        </w:rPr>
        <w:t xml:space="preserve">3.3 — Permanent Records</w:t>
      </w:r>
    </w:p>
    <w:p>
      <w:pPr>
        <w:spacing w:after="160" w:line="300"/>
        <w:jc w:val="left"/>
      </w:pPr>
      <w:r>
        <w:rPr>
          <w:b w:val="false"/>
          <w:bCs w:val="false"/>
          <w:i w:val="false"/>
          <w:iCs w:val="false"/>
          <w:color w:val="1A1A1A"/>
          <w:sz w:val="21"/>
          <w:szCs w:val="21"/>
        </w:rPr>
        <w:t xml:space="preserve">Responds directly to the attack "Voice Protest creates a permanent database of dissent." The corrected answer separates what is permanently preserved (public protest reports, integrity commitments, integrity hashes) from what is never preserved (participant identities, phone numbers, personal records), framing the system's design intent as preserving evidence of participation while avoiding preservation of participant identity.</w:t>
      </w:r>
    </w:p>
    <w:p>
      <w:pPr>
        <w:pStyle w:val="Heading2"/>
        <w:spacing w:after="120" w:before="300"/>
      </w:pPr>
      <w:r>
        <w:rPr>
          <w:b/>
          <w:bCs/>
          <w:color w:val="1B7F4D"/>
          <w:sz w:val="24"/>
          <w:szCs w:val="24"/>
        </w:rPr>
        <w:t xml:space="preserve">3.4 — Institutional Recognition</w:t>
      </w:r>
    </w:p>
    <w:p>
      <w:pPr>
        <w:spacing w:after="160" w:line="300"/>
        <w:jc w:val="left"/>
      </w:pPr>
      <w:r>
        <w:rPr>
          <w:b w:val="false"/>
          <w:bCs w:val="false"/>
          <w:i w:val="false"/>
          <w:iCs w:val="false"/>
          <w:color w:val="1A1A1A"/>
          <w:sz w:val="21"/>
          <w:szCs w:val="21"/>
        </w:rPr>
        <w:t xml:space="preserve">Responds to "the institution does not recognise this protest." Voice Protest does not require institutional recognition; the platform records verified participation, and recognition, response and engagement remain entirely at the discretion of the institution concerned.</w:t>
      </w:r>
    </w:p>
    <w:p>
      <w:r>
        <w:br w:type="page"/>
      </w:r>
    </w:p>
    <w:p>
      <w:pPr>
        <w:pStyle w:val="Heading1"/>
        <w:pBdr>
          <w:bottom w:val="single" w:color="1B7F4D" w:sz="6" w:space="4"/>
        </w:pBdr>
        <w:spacing w:after="200" w:before="400"/>
      </w:pPr>
      <w:r>
        <w:rPr>
          <w:b/>
          <w:bCs/>
          <w:color w:val="1A1A1A"/>
          <w:sz w:val="30"/>
          <w:szCs w:val="30"/>
        </w:rPr>
        <w:t xml:space="preserve">4. The elevated principle</w:t>
      </w:r>
    </w:p>
    <w:p>
      <w:pPr>
        <w:spacing w:after="160" w:line="300"/>
        <w:jc w:val="left"/>
      </w:pPr>
      <w:r>
        <w:rPr>
          <w:b w:val="false"/>
          <w:bCs w:val="false"/>
          <w:i w:val="false"/>
          <w:iCs w:val="false"/>
          <w:color w:val="1A1A1A"/>
          <w:sz w:val="21"/>
          <w:szCs w:val="21"/>
        </w:rPr>
        <w:t xml:space="preserve">The auditor singled out one sentence already present in Document A's key-messages list and recommended elevating it from a communications talking point to the document's organising principle: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200"/>
              <w:left w:type="dxa" w:w="240"/>
              <w:bottom w:type="dxa" w:w="200"/>
              <w:right w:type="dxa" w:w="240"/>
            </w:tcMar>
          </w:tcPr>
          <w:p>
            <w:pPr>
              <w:spacing w:after="120"/>
            </w:pPr>
            <w:r>
              <w:rPr>
                <w:b/>
                <w:bCs/>
                <w:i/>
                <w:iCs/>
                <w:color w:val="1A1A1A"/>
                <w:sz w:val="24"/>
                <w:szCs w:val="24"/>
              </w:rPr>
              <w:t xml:space="preserve">“We verify participation, not truth.”</w:t>
            </w:r>
          </w:p>
          <w:p>
            <w:r>
              <w:rPr>
                <w:color w:val="595959"/>
                <w:sz w:val="21"/>
                <w:szCs w:val="21"/>
              </w:rPr>
              <w:t xml:space="preserve">Voice Protest verifies that a participation event occurred. It does not verify whether the underlying claim is true.</w:t>
            </w:r>
          </w:p>
        </w:tc>
      </w:tr>
    </w:tbl>
    <w:p>
      <w:pPr>
        <w:spacing w:after="200"/>
      </w:pPr>
    </w:p>
    <w:p>
      <w:pPr>
        <w:spacing w:after="160" w:line="300"/>
        <w:jc w:val="left"/>
      </w:pPr>
      <w:r>
        <w:rPr>
          <w:b w:val="false"/>
          <w:bCs w:val="false"/>
          <w:i w:val="false"/>
          <w:iCs w:val="false"/>
          <w:color w:val="1A1A1A"/>
          <w:sz w:val="21"/>
          <w:szCs w:val="21"/>
        </w:rPr>
        <w:t xml:space="preserve">This became the Foundational Principle section opening Document C. The auditor's reasoning: this is the single strongest conceptual defence available to the platform, and every other section — what is measured, what is not measured, representativeness, reliability scores — follows logically from it once stated first.</w:t>
      </w:r>
    </w:p>
    <w:p>
      <w:pPr>
        <w:pStyle w:val="Heading2"/>
        <w:spacing w:after="120" w:before="300"/>
      </w:pPr>
      <w:r>
        <w:rPr>
          <w:b/>
          <w:bCs/>
          <w:color w:val="1B7F4D"/>
          <w:sz w:val="24"/>
          <w:szCs w:val="24"/>
        </w:rPr>
        <w:t xml:space="preserve">4.1 — Representativeness (added on the same logic)</w:t>
      </w:r>
    </w:p>
    <w:p>
      <w:pPr>
        <w:spacing w:after="160" w:line="300"/>
        <w:jc w:val="left"/>
      </w:pPr>
      <w:r>
        <w:rPr>
          <w:b w:val="false"/>
          <w:bCs w:val="false"/>
          <w:i w:val="false"/>
          <w:iCs w:val="false"/>
          <w:color w:val="1A1A1A"/>
          <w:sz w:val="21"/>
          <w:szCs w:val="21"/>
        </w:rPr>
        <w:t xml:space="preserve">A direct consequence of the foundational principle, added as its own section: Voice Protest is not a referendum. Referenda measure the preferences of an entire eligible population; Voice Protest measures verified participation among those who voluntarily choose to express support for a specific grievance. The two instruments serve different purposes. The auditor noted this section specifically protects the platform against comparisons to Swiss-style referenda, national elections, or official consultations — comparisons a critical reader reaches for naturally and which the platform cannot win on those terms, nor needs to.</w:t>
      </w:r>
    </w:p>
    <w:p>
      <w:pPr>
        <w:pStyle w:val="Heading1"/>
        <w:pBdr>
          <w:bottom w:val="single" w:color="1B7F4D" w:sz="6" w:space="4"/>
        </w:pBdr>
        <w:spacing w:after="200" w:before="400"/>
      </w:pPr>
      <w:r>
        <w:rPr>
          <w:b/>
          <w:bCs/>
          <w:color w:val="1A1A1A"/>
          <w:sz w:val="30"/>
          <w:szCs w:val="30"/>
        </w:rPr>
        <w:t xml:space="preserve">5. Deliberately deferred: the research vocabulary</w:t>
      </w:r>
    </w:p>
    <w:p>
      <w:pPr>
        <w:spacing w:after="160" w:line="300"/>
        <w:jc w:val="left"/>
      </w:pPr>
      <w:r>
        <w:rPr>
          <w:b w:val="false"/>
          <w:bCs w:val="false"/>
          <w:i w:val="false"/>
          <w:iCs w:val="false"/>
          <w:color w:val="1A1A1A"/>
          <w:sz w:val="21"/>
          <w:szCs w:val="21"/>
        </w:rPr>
        <w:t xml:space="preserve">The auditor was explicit that exploratory research framing — terms such as Social Seismology, Democratic Thermodynamics, Democratic Digital Twin, VCP, IPE, or CVWS — should not appear in this document at all, regardless of their conceptual merit elsewhere.</w:t>
      </w:r>
    </w:p>
    <w:p>
      <w:pPr>
        <w:spacing w:after="160" w:line="300"/>
        <w:jc w:val="left"/>
      </w:pPr>
      <w:r>
        <w:rPr>
          <w:b w:val="false"/>
          <w:bCs w:val="false"/>
          <w:i w:val="false"/>
          <w:iCs w:val="false"/>
          <w:color w:val="1A1A1A"/>
          <w:sz w:val="21"/>
          <w:szCs w:val="21"/>
        </w:rPr>
        <w:t xml:space="preserve">The stated reason: this document is a defence of the existing system, not a manifesto for future research. Mixing the two registers would let a critical reader dismiss the platform's current, demonstrable claims by association with speculative future ones. The single concession is a short closing section:</w:t>
      </w:r>
    </w:p>
    <w:p>
      <w:pPr>
        <w:pStyle w:val="ListParagraph"/>
        <w:numPr>
          <w:ilvl w:val="0"/>
          <w:numId w:val="2"/>
        </w:numPr>
        <w:spacing w:after="90" w:line="280"/>
      </w:pPr>
      <w:r>
        <w:rPr>
          <w:b w:val="false"/>
          <w:bCs w:val="false"/>
          <w:color w:val="1A1A1A"/>
          <w:sz w:val="21"/>
          <w:szCs w:val="21"/>
        </w:rPr>
        <w:t xml:space="preserve">Future Research Directions — states only that Voice Protest is currently focused on verified participation, and that future research may explore whether aggregated participation data can contribute to broader studies of democratic observability, institutional responsiveness and collective civic behaviour. Explicitly flagged as exploratory and not to be confused with current platform capabilities.</w:t>
      </w:r>
    </w:p>
    <w:p>
      <w:pPr>
        <w:pStyle w:val="Heading1"/>
        <w:pBdr>
          <w:bottom w:val="single" w:color="1B7F4D" w:sz="6" w:space="4"/>
        </w:pBdr>
        <w:spacing w:after="200" w:before="400"/>
      </w:pPr>
      <w:r>
        <w:rPr>
          <w:b/>
          <w:bCs/>
          <w:color w:val="1A1A1A"/>
          <w:sz w:val="30"/>
          <w:szCs w:val="30"/>
        </w:rPr>
        <w:t xml:space="preserve">6. Document C: the first integration</w:t>
      </w:r>
    </w:p>
    <w:p>
      <w:pPr>
        <w:spacing w:after="160" w:line="300"/>
        <w:jc w:val="left"/>
      </w:pPr>
      <w:r>
        <w:rPr>
          <w:b w:val="false"/>
          <w:bCs w:val="false"/>
          <w:i w:val="false"/>
          <w:iCs w:val="false"/>
          <w:color w:val="1A1A1A"/>
          <w:sz w:val="21"/>
          <w:szCs w:val="21"/>
        </w:rPr>
        <w:t xml:space="preserve">Document C ("Audit Alignment, Threat Model and Participation Framework", v2.0) is the result of integrating the corrections in Sections 2 and 3 above. It restructures the material entirely: where Document A organised itself as attack/response pairs across five categories, Document C opens with the foundational principle and lets every subsequent section — what is measured, what is not measured, scope of measurement, representativeness, reliability scores, threat model — follow from it. The thirteen specific attacks in Document A's Category 1–5 are condensed into seven abstract attack categories, and the "Public response" quote format is replaced by declarative statements.</w:t>
      </w:r>
    </w:p>
    <w:p>
      <w:pPr>
        <w:spacing w:after="160" w:line="300"/>
        <w:jc w:val="left"/>
      </w:pPr>
      <w:r>
        <w:rPr>
          <w:b w:val="false"/>
          <w:bCs w:val="false"/>
          <w:i w:val="false"/>
          <w:iCs w:val="false"/>
          <w:color w:val="1A1A1A"/>
          <w:sz w:val="21"/>
          <w:szCs w:val="21"/>
        </w:rPr>
        <w:t xml:space="preserve">This was a substantial improvement and incorporated the corrections above faithfully.</w:t>
      </w:r>
    </w:p>
    <w:p>
      <w:pPr>
        <w:pStyle w:val="Heading1"/>
        <w:pBdr>
          <w:bottom w:val="single" w:color="1B7F4D" w:sz="6" w:space="4"/>
        </w:pBdr>
        <w:spacing w:after="200" w:before="400"/>
      </w:pPr>
      <w:r>
        <w:rPr>
          <w:b/>
          <w:bCs/>
          <w:color w:val="1A1A1A"/>
          <w:sz w:val="30"/>
          <w:szCs w:val="30"/>
        </w:rPr>
        <w:t xml:space="preserve">7. Document D: why v2.0 is still not canonical</w:t>
      </w:r>
    </w:p>
    <w:p>
      <w:pPr>
        <w:spacing w:after="160" w:line="300"/>
        <w:jc w:val="left"/>
      </w:pPr>
      <w:r>
        <w:rPr>
          <w:b w:val="false"/>
          <w:bCs w:val="false"/>
          <w:i w:val="false"/>
          <w:iCs w:val="false"/>
          <w:color w:val="1A1A1A"/>
          <w:sz w:val="21"/>
          <w:szCs w:val="21"/>
        </w:rPr>
        <w:t xml:space="preserve">The auditor's second-pass review (Document D) confirms that Document C correctly applies the structural and conceptual corrections — the foundational principle, the new sections, the softened legal and citizenship language are all present and well-integrated. The assessment nonetheless withholds canonical status, for a specific reason rather than a general one: Document C still carries residual phrasing inherited from earlier drafting passes that has not yet been checked line-by-line against four references that have moved since those passages were first written:</w:t>
      </w:r>
    </w:p>
    <w:p>
      <w:pPr>
        <w:pStyle w:val="ListParagraph"/>
        <w:numPr>
          <w:ilvl w:val="0"/>
          <w:numId w:val="2"/>
        </w:numPr>
        <w:spacing w:after="90" w:line="280"/>
      </w:pPr>
      <w:r>
        <w:rPr>
          <w:b w:val="false"/>
          <w:bCs w:val="false"/>
          <w:color w:val="1A1A1A"/>
          <w:sz w:val="21"/>
          <w:szCs w:val="21"/>
        </w:rPr>
        <w:t xml:space="preserve">the completed documentary audit;</w:t>
      </w:r>
    </w:p>
    <w:p>
      <w:pPr>
        <w:pStyle w:val="ListParagraph"/>
        <w:numPr>
          <w:ilvl w:val="0"/>
          <w:numId w:val="2"/>
        </w:numPr>
        <w:spacing w:after="90" w:line="280"/>
      </w:pPr>
      <w:r>
        <w:rPr>
          <w:b w:val="false"/>
          <w:bCs w:val="false"/>
          <w:color w:val="1A1A1A"/>
          <w:sz w:val="21"/>
          <w:szCs w:val="21"/>
        </w:rPr>
        <w:t xml:space="preserve">the current README;</w:t>
      </w:r>
    </w:p>
    <w:p>
      <w:pPr>
        <w:pStyle w:val="ListParagraph"/>
        <w:numPr>
          <w:ilvl w:val="0"/>
          <w:numId w:val="2"/>
        </w:numPr>
        <w:spacing w:after="90" w:line="280"/>
      </w:pPr>
      <w:r>
        <w:rPr>
          <w:b w:val="false"/>
          <w:bCs w:val="false"/>
          <w:color w:val="1A1A1A"/>
          <w:sz w:val="21"/>
          <w:szCs w:val="21"/>
        </w:rPr>
        <w:t xml:space="preserve">the “Verified Collective Voice” repositioning;</w:t>
      </w:r>
    </w:p>
    <w:p>
      <w:pPr>
        <w:pStyle w:val="ListParagraph"/>
        <w:numPr>
          <w:ilvl w:val="0"/>
          <w:numId w:val="2"/>
        </w:numPr>
        <w:spacing w:after="90" w:line="280"/>
      </w:pPr>
      <w:r>
        <w:rPr>
          <w:b w:val="false"/>
          <w:bCs w:val="false"/>
          <w:color w:val="1A1A1A"/>
          <w:sz w:val="21"/>
          <w:szCs w:val="21"/>
        </w:rPr>
        <w:t xml:space="preserve">the terminology cleanup on citizenship language documented in Section 2.1 above.</w:t>
      </w:r>
    </w:p>
    <w:p>
      <w:pPr>
        <w:spacing w:after="160" w:line="300"/>
        <w:jc w:val="left"/>
      </w:pPr>
      <w:r>
        <w:rPr>
          <w:b w:val="false"/>
          <w:bCs w:val="false"/>
          <w:i w:val="false"/>
          <w:iCs w:val="false"/>
          <w:color w:val="1A1A1A"/>
          <w:sz w:val="21"/>
          <w:szCs w:val="21"/>
        </w:rPr>
        <w:t xml:space="preserve">The auditor's explicit recommendation is not a partial patch but an integral review: read Document C end to end against those four references and correct any remaining drift, rather than spot-fixing individual sentences as they are noticed. The auditor noted this as the single most important remaining step, describing the underlying improvement still needed as epistemological rather than technical — ensuring it is stated unambiguously, throughout, that Voice Protest measures verified participation and nothing else: not legitimacy, not public opinion, not truth.</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200"/>
              <w:left w:type="dxa" w:w="240"/>
              <w:bottom w:type="dxa" w:w="200"/>
              <w:right w:type="dxa" w:w="240"/>
            </w:tcMar>
          </w:tcPr>
          <w:p>
            <w:pPr>
              <w:spacing w:after="100"/>
            </w:pPr>
            <w:r>
              <w:rPr>
                <w:b/>
                <w:bCs/>
                <w:caps/>
                <w:color w:val="1B7F4D"/>
                <w:sz w:val="19"/>
                <w:szCs w:val="19"/>
              </w:rPr>
              <w:t xml:space="preserve">Status as of this document</w:t>
            </w:r>
          </w:p>
          <w:p>
            <w:r>
              <w:rPr>
                <w:color w:val="1A1A1A"/>
                <w:sz w:val="21"/>
                <w:szCs w:val="21"/>
              </w:rPr>
              <w:t xml:space="preserve">Document C (v2.0) is the current working reference and is materially correct. It is not yet formally canonical pending the integral cross-check described above. No further new sections are required — the remaining work is verification of existing language against the four references, not additional drafting.</w:t>
            </w:r>
          </w:p>
        </w:tc>
      </w:tr>
    </w:tbl>
    <w:p>
      <w:pPr>
        <w:pStyle w:val="Heading1"/>
        <w:spacing w:after="200" w:line="320" w:lineRule="auto"/>
      </w:pPr>
      <w:r>
        <w:rPr>
          <w:b/>
          <w:color w:val="1A1A1A"/>
          <w:sz w:val="30"/>
          <w:szCs w:val="30"/>
        </w:rPr>
        <w:t xml:space="preserve">7. Session corrections — 21 June 2026</w:t>
      </w:r>
    </w:p>
    <w:p>
      <w:pPr>
        <w:spacing w:after="160" w:line="320" w:lineRule="auto"/>
        <w:jc w:val="both"/>
      </w:pPr>
      <w:r>
        <w:t xml:space="preserve">This entry documents technical corrections, new features and documentation updates applied during the development session of 21 June 2026.</w:t>
      </w:r>
    </w:p>
    <w:p>
      <w:pPr>
        <w:pStyle w:val="Heading2"/>
        <w:spacing w:after="160" w:line="320" w:lineRule="auto"/>
      </w:pPr>
      <w:r>
        <w:t xml:space="preserve">7.1 — New scope: Local (city/municipality)</w:t>
      </w:r>
    </w:p>
    <w:p>
      <w:pPr>
        <w:spacing w:after="160" w:line="320" w:lineRule="auto"/>
        <w:jc w:val="both"/>
      </w:pPr>
      <w:r>
        <w:t xml:space="preserve">A fourth geographic scope, “local”, was added to the platform. Unlike the existing regional scope, the local scope requires the event creator to select a specific municipality via Nominatim/OpenStreetMap search. The municipality is identified by its OSM relation ID (admin_level=8), eliminating name ambiguity across languages. This approach was validated for all 27 EU member states. GPS confirmation from participants is used to classify adhesions into three tiers in the public report: GPS confirmed within the declared municipality, national participants without local GPS, and international participants. GPS is not a participation requirement — it is a verification signal. The design decision not to exclude non-GPS participants was deliberate: Voice Protest verifies participation, not legitimacy. A resident temporarily absent from the municipality retains the right to participate.</w:t>
      </w:r>
    </w:p>
    <w:p>
      <w:pPr>
        <w:pStyle w:val="Heading2"/>
        <w:spacing w:after="160" w:line="320" w:lineRule="auto"/>
      </w:pPr>
      <w:r>
        <w:t xml:space="preserve">7.2 — Scope “regional” renamed from “Local”</w:t>
      </w:r>
    </w:p>
    <w:p>
      <w:pPr>
        <w:spacing w:after="160" w:line="320" w:lineRule="auto"/>
        <w:jc w:val="both"/>
      </w:pPr>
      <w:r>
        <w:t xml:space="preserve">The existing scope previously labelled “Local” in the user interface was renamed “Regional” across all four languages (ES/EN/FR/ZH) to avoid confusion with the new local city/municipality scope. The technical scope identifier (“regional”) was unchanged. Eligibility and duration (8h) were unchanged.</w:t>
      </w:r>
    </w:p>
    <w:p>
      <w:pPr>
        <w:pStyle w:val="Heading2"/>
        <w:spacing w:after="160" w:line="320" w:lineRule="auto"/>
      </w:pPr>
      <w:r>
        <w:t xml:space="preserve">7.3 — Event start time timezone correction</w:t>
      </w:r>
    </w:p>
    <w:p>
      <w:pPr>
        <w:spacing w:after="160" w:line="320" w:lineRule="auto"/>
        <w:jc w:val="both"/>
      </w:pPr>
      <w:r>
        <w:t xml:space="preserve">Prior to this session, all event start times were encoded as 08:00 UTC regardless of the event creator’s location. This meant that an event created in Santander (CEST, UTC+2) would start at 10:00 local time, not 08:00. The bug was corrected: start times are now encoded with the local timezone offset of the creator’s browser at creation time, so 08:00 always means 08:00 in the creator’s city.</w:t>
      </w:r>
    </w:p>
    <w:p>
      <w:pPr>
        <w:pStyle w:val="Heading2"/>
        <w:spacing w:after="160" w:line="320" w:lineRule="auto"/>
      </w:pPr>
      <w:r>
        <w:t xml:space="preserve">7.4 — Push notification timezone and night filter</w:t>
      </w:r>
    </w:p>
    <w:p>
      <w:pPr>
        <w:spacing w:after="160" w:line="320" w:lineRule="auto"/>
        <w:jc w:val="both"/>
      </w:pPr>
      <w:r>
        <w:t xml:space="preserve">The device timezone (IANA string) is now captured at push subscription time and stored in the push_subscriptions table. The “closing soon” notification (sent one hour before event closure) is suppressed for participants whose device timezone indicates nighttime hours (23:00–07:00 local time) at the moment of sending. The “started” and “closed” notifications are not filtered. This change was reviewed by the external auditor, who approved it as technically sound and within the platform’s existing privacy model. The Privacy Policy was updated in all four languages to disclose timezone storage.</w:t>
      </w:r>
    </w:p>
    <w:p>
      <w:pPr>
        <w:pStyle w:val="Heading2"/>
        <w:spacing w:after="160" w:line="320" w:lineRule="auto"/>
      </w:pPr>
      <w:r>
        <w:t xml:space="preserve">7.5 — tipo_abuso values aligned to English</w:t>
      </w:r>
    </w:p>
    <w:p>
      <w:pPr>
        <w:spacing w:after="160" w:line="320" w:lineRule="auto"/>
        <w:jc w:val="both"/>
      </w:pPr>
      <w:r>
        <w:t xml:space="preserve">The frontend select options for tipo_abuso were using Spanish values (opacidad, corrupcion, negligencia…) while the backend VALID_ABUSE_TYPES list expected English values (opacity, corruption, negligence…). This mismatch caused all protest creation attempts to fail with a 400 validation error. The frontend values were corrected to match the backend. Display labels shown to users are unchanged — only the internal values sent to the API were corrected.</w:t>
      </w:r>
    </w:p>
    <w:p>
      <w:pPr>
        <w:pStyle w:val="Heading2"/>
        <w:spacing w:after="160" w:line="320" w:lineRule="auto"/>
      </w:pPr>
      <w:r>
        <w:t xml:space="preserve">7.6 — Source domain classification fix and new regional media</w:t>
      </w:r>
    </w:p>
    <w:p>
      <w:pPr>
        <w:spacing w:after="160" w:line="320" w:lineRule="auto"/>
        <w:jc w:val="both"/>
      </w:pPr>
      <w:r>
        <w:t xml:space="preserve">The classifyDomain function now checks both the full domain and its registrable domain (eTLD+1), so subdomains (e.g. eldiariocantabria.publico.es) inherit their parent domain’s classification. Several Spanish regional media outlets were added to the KNOWN_OFFICIAL list: eldiariomontanes.es, elcorreo.com, diariovasco.com, heraldo.es and others.</w:t>
      </w:r>
    </w:p>
    <w:p>
      <w:pPr>
        <w:pStyle w:val="Heading2"/>
        <w:spacing w:after="160" w:line="320" w:lineRule="auto"/>
      </w:pPr>
      <w:r>
        <w:t xml:space="preserve">7.7 — Wikidata ALLOWED_TYPES expanded</w:t>
      </w:r>
    </w:p>
    <w:p>
      <w:pPr>
        <w:spacing w:after="160" w:line="320" w:lineRule="auto"/>
        <w:jc w:val="both"/>
      </w:pPr>
      <w:r>
        <w:t xml:space="preserve">Three Wikidata types were added to the allowed recipients list: Q22996476 (ayuntamiento — Spanish local government institution), Q543654 (city council, generic), and Q2074737 (municipality of Spain). These additions were required to allow the Ayuntamiento de Santander (Q5714934) to be accepted as a valid recipient.</w:t>
      </w:r>
    </w:p>
    <w:p>
      <w:pPr>
        <w:pStyle w:val="Heading1"/>
        <w:pBdr>
          <w:bottom w:val="single" w:color="1B7F4D" w:sz="6" w:space="4"/>
        </w:pBdr>
        <w:spacing w:after="200" w:before="400"/>
      </w:pPr>
      <w:r>
        <w:rPr>
          <w:b/>
          <w:bCs/>
          <w:color w:val="1A1A1A"/>
          <w:sz w:val="30"/>
          <w:szCs w:val="30"/>
        </w:rPr>
        <w:t xml:space="preserve">Session corrections — 24 June 2026</w:t>
      </w:r>
    </w:p>
    <w:p>
      <w:pPr>
        <w:spacing w:after="160" w:line="320" w:lineRule="auto"/>
        <w:jc w:val="both"/>
      </w:pPr>
      <w:r>
        <w:t xml:space="preserve">This entry documents technical corrections, an interface restructuring and a methodological refinement applied during the development session of 24 June 2026.</w:t>
      </w:r>
    </w:p>
    <w:p>
      <w:pPr>
        <w:pStyle w:val="Heading2"/>
        <w:spacing w:after="160" w:line="320" w:lineRule="auto"/>
      </w:pPr>
      <w:r>
        <w:t xml:space="preserve">Regional scope — duplicate region field removed</w:t>
      </w:r>
    </w:p>
    <w:p>
      <w:pPr>
        <w:spacing w:after="160" w:line="320" w:lineRule="auto"/>
        <w:jc w:val="both"/>
      </w:pPr>
      <w:r>
        <w:t xml:space="preserve">The event-creation screen displayed two “Region/Province” fields for the regional scope: a legacy free-text input and the newer OpenStreetMap search added on 21 June. The free-text field was removed. The region name is now derived from the OSM selection and kept in sync, so the group screen and group invitations continue to display it. The redundant region validation was removed; the requirement to select a region from the OSM search now governs region entry.</w:t>
      </w:r>
    </w:p>
    <w:p>
      <w:pPr>
        <w:pStyle w:val="Heading2"/>
        <w:spacing w:after="160" w:line="320" w:lineRule="auto"/>
      </w:pPr>
      <w:r>
        <w:t xml:space="preserve">Institutional participation presented as a distinct model</w:t>
      </w:r>
    </w:p>
    <w:p>
      <w:pPr>
        <w:spacing w:after="160" w:line="320" w:lineRule="auto"/>
        <w:jc w:val="both"/>
      </w:pPr>
      <w:r>
        <w:t xml:space="preserve">The scope selector was reorganised into two clearly separated blocks. The first, geographic scope, groups National, Regional, Local and Global. The second, institutional scope, groups two institutional participation types: “Institutional — email domain” and “Institutional + trusted census”. Institutional participation is no longer hidden as an advanced option inside the regional scope. Internally it still reuses existing backend fields — regional scope plus an institutional email domain, and, for the census variant, the trusted-census flag — so no new backend scope was introduced. Because institutional convocatorias are verified by institutional email rather than geography, they are exempt from the requirement to declare an OSM geographic entity. On the participant side, the SIM/GPS geographic-validation panel is hidden for institutional convocatorias, since these are verified by email. The scope descriptions were rewritten in all four languages (ES/EN/FR/ZH) to match this two-block structure.</w:t>
      </w:r>
    </w:p>
    <w:p>
      <w:pPr>
        <w:pStyle w:val="Heading2"/>
        <w:spacing w:after="160" w:line="320" w:lineRule="auto"/>
      </w:pPr>
      <w:r>
        <w:t xml:space="preserve">Event start date — out-of-range and daylight-saving corrections</w:t>
      </w:r>
    </w:p>
    <w:p>
      <w:pPr>
        <w:spacing w:after="160" w:line="320" w:lineRule="auto"/>
        <w:jc w:val="both"/>
      </w:pPr>
      <w:r>
        <w:t xml:space="preserve">Two defects in the event start time were corrected. First, the end-date preview could render an absurd value (for example, the year 6) when the browser’s native date input briefly held an incomplete year; guards now hide the preview and reject submission for any start date earlier than the minimum allowed date. Second, the “08:00 local” start time was being computed using the creator’s timezone offset on the day of creation rather than on the event date, producing a one-hour error across daylight-saving boundaries. Start times are now constructed from the event date’s own local components, so 08:00 always means 08:00 local on that date regardless of season.</w:t>
      </w:r>
    </w:p>
    <w:p>
      <w:pPr>
        <w:pStyle w:val="Heading2"/>
        <w:spacing w:after="160" w:line="320" w:lineRule="auto"/>
      </w:pPr>
      <w:r>
        <w:t xml:space="preserve">Geographic confidence — physical presence weighted above device configuration</w:t>
      </w:r>
    </w:p>
    <w:p>
      <w:pPr>
        <w:spacing w:after="160" w:line="320" w:lineRule="auto"/>
        <w:jc w:val="both"/>
      </w:pPr>
      <w:r>
        <w:t xml:space="preserve">The device geographic-confidence score was revised so that agreement between IP and GPS is the dominant signal, while timezone and language are treated as auxiliary and compared against the GPS country rather than the IP country. With GPS present, the score is 60 (GPS) + 15 (IP present) + 20 (GPS country equals IP country) + 10 (timezone equals GPS country) + 5 (language equals GPS country). The branch without GPS is unchanged. The practical effect is that a participant physically present in a country while using a foreign-configured device — for example a Spanish-configured phone in Malta, with both IP and GPS in Malta — is no longer penalised: the score rises from 85% to 95%. This reflects the platform’s position that coinciding IP and GPS are a stronger signal of physical presence than timezone or language, which describe device configuration rather than location.</w:t>
      </w:r>
    </w:p>
    <w:p>
      <w:pPr>
        <w:pStyle w:val="Heading2"/>
        <w:spacing w:after="160" w:line="320" w:lineRule="auto"/>
      </w:pPr>
      <w:r>
        <w:t xml:space="preserve">National eligibility decoupled from geographic confidence</w:t>
      </w:r>
    </w:p>
    <w:p>
      <w:pPr>
        <w:spacing w:after="160" w:line="320" w:lineRule="auto"/>
        <w:jc w:val="both"/>
      </w:pPr>
      <w:r>
        <w:t xml:space="preserve">The geographic-confidence score is no longer used as an eligibility condition. National eligibility is determined solely by the SIM country matching the convocatoria’s country. The previous “confidence at least 60%” requirement was removed from the adhesion check, so that legitimate participants whose auxiliary signals are weak or misaligned — a failing IP lookup, disabled GPS, a misaligned timezone — are not excluded. Geographic confidence is now strictly informative, explaining the quality of complementary signals without acting as a barrier.</w:t>
      </w:r>
    </w:p>
    <w:p>
      <w:pPr>
        <w:pStyle w:val="Heading2"/>
        <w:spacing w:after="160" w:line="320" w:lineRule="auto"/>
      </w:pPr>
      <w:r>
        <w:t xml:space="preserve">Territorial verification exposed as local_verified</w:t>
      </w:r>
    </w:p>
    <w:p>
      <w:pPr>
        <w:spacing w:after="160" w:line="320" w:lineRule="auto"/>
        <w:jc w:val="both"/>
      </w:pPr>
      <w:r>
        <w:t xml:space="preserve">Territorial verification is now a named, explicit field, kept separate from the confidence score, in both the adhesion response and the public report. The field local_verified answers a single question: did the participant’s reverse-geocoded GPS place them inside the convocatoria’s declared OSM entity? It is accompanied by geo_scope_match (municipality or region) and geo_scope_source (gps_osm). This separation is deliberate: a confidence percentage measures signal quality, whereas local_verified measures territorial belonging, and the two must not be conflated by participants, journalists or future auditors. Consistent with the platform’s principle, local and regional participation remains a classification in the report, never an exclusion.</w:t>
      </w:r>
    </w:p>
    <w:p>
      <w:pPr>
        <w:pStyle w:val="Heading2"/>
        <w:spacing w:after="160" w:line="320" w:lineRule="auto"/>
      </w:pPr>
      <w:r>
        <w:t xml:space="preserve">GPS coordinates — storage misalignment corrected</w:t>
      </w:r>
    </w:p>
    <w:p>
      <w:pPr>
        <w:spacing w:after="160" w:line="320" w:lineRule="auto"/>
        <w:jc w:val="both"/>
      </w:pPr>
      <w:r>
        <w:t xml:space="preserve">During this session’s documentation review, the auditor identified that the post-adhesion GPS reinforcement endpoint attempted to write GPS coordinates — latitude, longitude and accuracy — to the adhesions table. This contradicted the platform’s stated philosophy and the migration of 7 June 2026, which had deliberately removed those columns so that GPS coordinates are never stored: only a boolean confirming that GPS was active at the moment of adhesion, together with the derived OSM entity, is retained. Because the columns no longer exist and the update did not check for errors, the write failed silently — the reinforcement upgraded nothing. The endpoint was corrected to persist only the gps_confirmed boolean, the derived OSM identifier and the reliability signals, and error checking was added so that a future failure of this kind cannot pass unnoticed. The correction realigns the code with the database, the Privacy Policy and the canonical reference, all of which already state that GPS coordinates are never stored; no documentation change was required, because that claim is now true again.</w:t>
      </w:r>
    </w:p>
    <w:p>
      <w:pPr>
        <w:pStyle w:val="Heading2"/>
        <w:spacing w:after="160" w:line="320" w:lineRule="auto"/>
      </w:pPr>
      <w:r>
        <w:t xml:space="preserve">Identity hashing consolidated server-side with HMAC</w:t>
      </w:r>
    </w:p>
    <w:p>
      <w:pPr>
        <w:spacing w:after="160" w:line="320" w:lineRule="auto"/>
        <w:jc w:val="both"/>
      </w:pPr>
      <w:r>
        <w:t xml:space="preserve">A review of the data-handling guarantees revealed that identity hashing was being performed in the browser using plain SHA-256 for both phone numbers (at sign-in) and institutional emails (in the trusted-census flow), with the resulting hash sent to and stored by the server. Because a browser cannot hold a server secret, a client-side hash can only ever be plain SHA-256 — which, for low-entropy identifiers such as phone numbers and predictable institutional email addresses, is recoverable by dictionary attack. This contradicted the platform’s own cryptographic principle, under which low-entropy identifiers must be protected with a keyed HMAC. The server-side HMAC helper existed but was applied only to a secondary device record, not to the identifier actually stored against each adhesion. Separately, the trusted-census vouching flow persisted candidate email addresses in plain text.</w:t>
      </w:r>
    </w:p>
    <w:p>
      <w:pPr>
        <w:spacing w:after="160" w:line="320" w:lineRule="auto"/>
        <w:jc w:val="both"/>
      </w:pPr>
      <w:r>
        <w:t xml:space="preserve">Identity hashing was consolidated entirely on the server. The raw phone number or email travels to the backend only for one-time verification, exactly as before; the backend computes the HMAC with a server-side secret and returns the resulting identifier; the client stores and reuses that value but never derives an identity hash itself. A single secret is reused for phone and email, since it is conceptually an identity-hash secret rather than a phone-specific one. The per-adhesion nullifier is derived as a keyed HMAC of the identity hash and the convocatoria identifier, so it differs across convocatorias and cannot be correlated. Institutional and census participation now resolve to the same HMAC for a given email, restoring their consistency. In the vouching flow the candidate email is masked (for example j***@uu.nl) and the raw address is never persisted. The server now refuses to start in production if the identity-hashing secrets are absent, rather than silently downgrading to plain SHA-256, and the browser-side hashing helpers — together with a misleading live “SHA-256” preview shown during sign-in — were removed.</w:t>
      </w:r>
    </w:p>
    <w:p>
      <w:pPr>
        <w:pStyle w:val="Heading1"/>
        <w:pBdr>
          <w:bottom w:val="single" w:color="1B7F4D" w:sz="6" w:space="4"/>
        </w:pBdr>
        <w:spacing w:after="200" w:before="400"/>
      </w:pPr>
      <w:r>
        <w:rPr>
          <w:b/>
          <w:bCs/>
          <w:color w:val="1A1A1A"/>
          <w:sz w:val="30"/>
          <w:szCs w:val="30"/>
        </w:rPr>
        <w:t xml:space="preserve">Session corrections — 28 June 2026</w:t>
      </w:r>
    </w:p>
    <w:p>
      <w:pPr>
        <w:spacing w:after="160" w:line="320" w:lineRule="auto"/>
        <w:jc w:val="both"/>
      </w:pPr>
      <w:r>
        <w:t xml:space="preserve">This entry documents a database security review, two data-retention changes, a methodological interface-language audit, and the removal of two unimplemented login options, applied during the development session of 28 June 2026.</w:t>
      </w:r>
    </w:p>
    <w:p>
      <w:pPr>
        <w:pStyle w:val="Heading2"/>
        <w:spacing w:after="160" w:line="320" w:lineRule="auto"/>
      </w:pPr>
      <w:r>
        <w:t xml:space="preserve">Row Level Security enabled on all remaining tables</w:t>
      </w:r>
    </w:p>
    <w:p>
      <w:pPr>
        <w:spacing w:after="160" w:line="320" w:lineRule="auto"/>
        <w:jc w:val="both"/>
      </w:pPr>
      <w:r>
        <w:t xml:space="preserve">A review of the Supabase database confirmed, by direct query against pg_tables, that Row Level Security was enabled only on the protests table (corrected in the 20 June 2026 migration) and was still disabled on every other table in the public schema. Although the frontend holds no Supabase client and all data flows through the Railway backend with the service-role key, the public anonymous key combined with PostgREST remained an attack surface independent of the frontend. Row Level Security was enabled, each with a service-role-only policy, on the fourteen remaining tables: groups, group_members, vouches, vouch_requests, invite_links, institutional_members, email_otp_requests, email_otp_rate_limit, platform_fund, financial_movements, kofi_protest_map, integrity_records, source_validations and admin_log. A repeat of the verification query now returns no tables with Row Level Security disabled. The migration is idempotent and safe to re-run.</w:t>
      </w:r>
    </w:p>
    <w:p>
      <w:pPr>
        <w:pStyle w:val="Heading2"/>
        <w:spacing w:after="160" w:line="320" w:lineRule="auto"/>
      </w:pPr>
      <w:r>
        <w:t xml:space="preserve">Soft-delete replaced by irreversible anonymisation at 90 days</w:t>
      </w:r>
    </w:p>
    <w:p>
      <w:pPr>
        <w:spacing w:after="160" w:line="320" w:lineRule="auto"/>
        <w:jc w:val="both"/>
      </w:pPr>
      <w:r>
        <w:t xml:space="preserve">The previous data-retention mechanism logically deleted individual adhesions 90 days after an event closed by setting a deleted_at marker, while leaving the underlying personal fields intact in the database as a deliberate safety net for disputes and audits. The review concluded that retaining personal data indefinitely behind a soft-delete flag was inconsistent with the platform’s minimisation principle. The mechanism was replaced by irreversible anonymisation: 90 days after closure, every individual or linkable field of an adhesion — phone hash, device identifier, nullifier, public commitment, fine-grained location, city and region — is permanently set to null, while the row itself is kept so that the closed public report retains its aggregate distribution. The auditable snapshot in integrity_records, which contains no personal data, is unaffected. A safety guard ensures a protest is only anonymised once its integrity record exists. The auditor reviewed and approved the change.</w:t>
      </w:r>
    </w:p>
    <w:p>
      <w:pPr>
        <w:pStyle w:val="Heading2"/>
        <w:spacing w:after="160" w:line="320" w:lineRule="auto"/>
      </w:pPr>
      <w:r>
        <w:t xml:space="preserve">Verified-device retention introduced (270 days of inactivity)</w:t>
      </w:r>
    </w:p>
    <w:p>
      <w:pPr>
        <w:spacing w:after="160" w:line="320" w:lineRule="auto"/>
        <w:jc w:val="both"/>
      </w:pPr>
      <w:r>
        <w:t xml:space="preserve">The devices table associates a random device identifier with a server-side HMAC pseudonym of the participant’s phone number. This association lets returning participants join later events without repeating SMS verification, and prevents duplicate participation. The review noted that this pseudonym was retained indefinitely by default, including for devices that verified once and never participated again — a persistent, correlatable identifier outliving any activity. A retention rule was introduced: a last_seen column, refreshed on each effective adhesion, now governs a 270-day inactivity window (three times the 90-day adhesion window). A daily job deletes any device with no adhesion for 270 days that is no longer referenced by an adhesion; because anonymised adhesions hold a null device identifier, an eligible device has no referencing rows and is removed safely. The window is sliding: a recurring participant never expires, while a device that returns after deletion simply re-verifies once by SMS. The privacy policy was updated in all four languages to declare this persistent identifier and its retention honestly, including the fact that, for a continuously active participant, the pseudonym persists for as long as participation continues.</w:t>
      </w:r>
    </w:p>
    <w:p>
      <w:pPr>
        <w:pStyle w:val="Heading2"/>
        <w:spacing w:after="160" w:line="320" w:lineRule="auto"/>
      </w:pPr>
      <w:r>
        <w:t xml:space="preserve">Interface-language audit across four locales</w:t>
      </w:r>
    </w:p>
    <w:p>
      <w:pPr>
        <w:spacing w:after="160" w:line="320" w:lineRule="auto"/>
        <w:jc w:val="both"/>
      </w:pPr>
      <w:r>
        <w:t xml:space="preserve">A methodological audit of the user-facing strings was conducted against a single principle: the interface must not overstate what the system verifies. Across the four locales (ES/EN/FR/ZH), wording that conflated evidence with conclusion, confidence with certainty, or participation with legitimacy was corrected. Geographic signals are now described as confidence evidence rather than as certifying location; institutional email verification is described as evidence supporting affiliation rather than proving it; a declared source is described as supporting the reported facts rather than proving them; and “proof of humanity” became “humanity signal”. The data-retention wording was aligned with the new anonymisation and device-retention rules. Key sets were kept identical across the four languages, and the Chinese strings were flagged for native-speaker review before the pilot.</w:t>
      </w:r>
    </w:p>
    <w:p>
      <w:pPr>
        <w:pStyle w:val="Heading2"/>
        <w:spacing w:after="160" w:line="320" w:lineRule="auto"/>
      </w:pPr>
      <w:r>
        <w:t xml:space="preserve">Unimplemented login options removed (World ID and high-risk mode)</w:t>
      </w:r>
    </w:p>
    <w:p>
      <w:pPr>
        <w:spacing w:after="160" w:line="320" w:lineRule="auto"/>
        <w:jc w:val="both"/>
      </w:pPr>
      <w:r>
        <w:t xml:space="preserve">The login screen’s advanced options presented two cards that, on tap, displayed only a “coming soon” notice. Neither had any implementation, dependency or backend logic. The World ID card additionally carried a “maximum verifiable privacy” badge, advertising as available a feature that did not exist. The high-risk-mode card was misleading in the opposite direction: it presented as a future feature a protection that is, in fact, already implemented and automatic — for events marked high or critical risk, the code already skips the GPS request entirely, so no location is collected, and the protest’s risk level is shown on its detail screen. Both cards, and the now-empty advanced-options accordion, were removed, and the nine orphaned interface strings were deleted from all four locales. The real, automatic high-risk protection is unchanged.</w:t>
      </w:r>
    </w:p>
    <w:p>
      <w:pPr>
        <w:pStyle w:val="Heading1"/>
      </w:pPr>
      <w:r>
        <w:t>Session corrections — July 2026</w:t>
      </w:r>
    </w:p>
    <w:p>
      <w:r>
        <w:t>This entry documents a set of changes applied during the development sessions of early July 2026: a change to how recipient institutions are validated, a broadening of the accepted abuse types, a new requirement for institutional events, and a redesign of the landing page around the map.</w:t>
      </w:r>
    </w:p>
    <w:p>
      <w:pPr>
        <w:pStyle w:val="Heading2"/>
      </w:pPr>
      <w:r>
        <w:t>Recipient validation moved to hierarchical Wikidata classification</w:t>
      </w:r>
    </w:p>
    <w:p>
      <w:r>
        <w:t>The server-side recipient check (16.4) previously matched a recipient’s declared Wikidata type against a flat list of accepted type identifiers. That list required a new manual entry for every institution type it did not yet cover — the additions logged in 7.7 (a Spanish city council, among others) were an example — and could never be complete. The check now traverses the Wikidata subclass hierarchy (instance-of, then subclass-of transitively) against a small set of public-authority classes, so a specific national institution type is recognised through its parent classes. An allowed public classification takes precedence over a rejected one, so a public enterprise is admitted while a private company or a political party is rejected; verdicts are cached. This supersedes the manual list-maintenance approach recorded in 7.7.</w:t>
      </w:r>
    </w:p>
    <w:p>
      <w:pPr>
        <w:pStyle w:val="Heading2"/>
      </w:pPr>
      <w:r>
        <w:t>Accepted abuse types broadened from seven to sixteen</w:t>
      </w:r>
    </w:p>
    <w:p>
      <w:r>
        <w:t>The closed list of accepted abuse types (16.1) was broadened from seven categories to sixteen, grouped in three families anchored to recognised frameworks: integrity and corruption (UN Convention against Corruption), maladministration (European Ombudsman and Article 41 of the EU Charter), and rights and liberties (ECHR and EU Charter), plus a residual ‘other public power abuse’. The frontend selector and the backend closed list are kept in exact synchronisation. The change widens the range of legitimate public grievances the platform can express without weakening the other three admission rules.</w:t>
      </w:r>
    </w:p>
    <w:p>
      <w:pPr>
        <w:pStyle w:val="Heading2"/>
      </w:pPr>
      <w:r>
        <w:t>Institutional country now mandatory</w:t>
      </w:r>
    </w:p>
    <w:p>
      <w:r>
        <w:t>Institutional convocatorias now declare the institution’s country as a mandatory field. Eligibility is unchanged — it remains membership of the approved email domain — but the declared country records the institution’s seat so the convocatoria can be placed on the map and reached through the new country-first navigation. This updates 20.6, which previously stated that institutional convocatorias declare no geographic entity; the country is a locator for discoverability only and produces no geographic breakdown of participants.</w:t>
      </w:r>
    </w:p>
    <w:p>
      <w:pPr>
        <w:pStyle w:val="Heading2"/>
      </w:pPr>
      <w:r>
        <w:t>Landing redesigned around country-first map navigation</w:t>
      </w:r>
    </w:p>
    <w:p>
      <w:r>
        <w:t>The landing page was reorganised so the map is the primary way to browse. On load it frames the user’s country — using the strongest signal available without a permission prompt (SIM country if known, otherwise IP country), and refining to the SIM country if it arrives later and the user has not moved the map — leaving neighbouring countries visible. Tapping a country recentres the map and filters the list to that country. The scope filter order was aligned to global, national, regional, local and institutional, matching the event-creation screen; institutional convocatorias are now shown as their own category, distinct from regional, in both the list and the map.</w:t>
      </w:r>
    </w:p>
    <w:p>
      <w:pPr>
        <w:pStyle w:val="Heading2"/>
      </w:pPr>
      <w:r>
        <w:t>Country names localised; service worker made deploy-safe</w:t>
      </w:r>
    </w:p>
    <w:p>
      <w:r>
        <w:t>Two smaller corrections. Country names in the convocatoria list are now localised to the interface language at render time, using the browser’s own Intl data, instead of a fixed string stored at creation. And the service worker was switched to a network-first strategy for the application shell, so a new deployment is picked up on the next load instead of after a stale-cache delay.</w:t>
      </w:r>
    </w:p>
    <w:p>
      <w:pPr>
        <w:pStyle w:val="Heading1"/>
        <w:pBdr>
          <w:bottom w:val="single" w:color="1B7F4D" w:sz="6" w:space="4"/>
        </w:pBdr>
        <w:spacing w:after="200" w:before="400"/>
      </w:pPr>
      <w:r>
        <w:rPr>
          <w:b/>
          <w:bCs/>
          <w:color w:val="1A1A1A"/>
          <w:sz w:val="30"/>
          <w:szCs w:val="30"/>
        </w:rPr>
        <w:t xml:space="preserve">8. Why this audit trail exists</w:t>
      </w:r>
    </w:p>
    <w:p>
      <w:pPr>
        <w:spacing w:after="160" w:line="300"/>
        <w:jc w:val="left"/>
      </w:pPr>
      <w:r>
        <w:rPr>
          <w:b w:val="false"/>
          <w:bCs w:val="false"/>
          <w:i w:val="false"/>
          <w:iCs w:val="false"/>
          <w:color w:val="1A1A1A"/>
          <w:sz w:val="21"/>
          <w:szCs w:val="21"/>
        </w:rPr>
        <w:t xml:space="preserve">Voice Protest is an experimental civic infrastructure project. Because both the technology and the conceptual framework continue to evolve, maintaining a transparent record of corrections is considered a governance feature rather than a weakness.</w:t>
      </w:r>
    </w:p>
    <w:p>
      <w:pPr>
        <w:spacing w:after="160" w:line="300"/>
        <w:jc w:val="left"/>
      </w:pPr>
      <w:r>
        <w:rPr>
          <w:b w:val="false"/>
          <w:bCs w:val="false"/>
          <w:i w:val="false"/>
          <w:iCs w:val="false"/>
          <w:color w:val="1A1A1A"/>
          <w:sz w:val="21"/>
          <w:szCs w:val="21"/>
        </w:rPr>
        <w:t xml:space="preserve">The objective of this document is not to demonstrate that the project was always correct. The objective is to demonstrate that identified inaccuracies, overstatements and ambiguities are corrected openly and traceably.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2"/>
              <w:left w:val="single" w:color="D9D9D9" w:sz="2"/>
              <w:bottom w:val="single" w:color="D9D9D9" w:sz="2"/>
              <w:right w:val="single" w:color="D9D9D9" w:sz="2"/>
            </w:tcBorders>
            <w:shd w:fill="F2F2F2" w:val="clear"/>
            <w:tcMar>
              <w:top w:type="dxa" w:w="200"/>
              <w:left w:type="dxa" w:w="240"/>
              <w:bottom w:type="dxa" w:w="200"/>
              <w:right w:type="dxa" w:w="240"/>
            </w:tcMar>
          </w:tcPr>
          <w:p>
            <w:pPr>
              <w:spacing w:after="120"/>
            </w:pPr>
            <w:r>
              <w:rPr>
                <w:b/>
                <w:bCs/>
                <w:i/>
                <w:iCs/>
                <w:color w:val="1A1A1A"/>
                <w:sz w:val="21"/>
                <w:szCs w:val="21"/>
              </w:rPr>
              <w:t xml:space="preserve">This document is a historical record, not a description of the system.</w:t>
            </w:r>
          </w:p>
          <w:p>
            <w:r>
              <w:rPr>
                <w:color w:val="595959"/>
                <w:sz w:val="21"/>
                <w:szCs w:val="21"/>
              </w:rPr>
              <w:t xml:space="preserve">It should be preserved and cited as governance history — evidence of how the platform's canonical reference was corrected over time — but never cited as a current description of what Voice Protest is or does. That role belongs exclusively to the Audit Alignment, Threat Model and Participation Framework, in its latest version.</w:t>
            </w:r>
          </w:p>
        </w:tc>
      </w:tr>
    </w:tbl>
    <w:p>
      <w:r>
        <w:br w:type="page"/>
      </w:r>
    </w:p>
    <w:p>
      <w:pPr>
        <w:spacing w:before="2000"/>
      </w:pPr>
    </w:p>
    <w:p>
      <w:pPr>
        <w:spacing w:after="100"/>
        <w:jc w:val="center"/>
      </w:pPr>
      <w:r>
        <w:rPr>
          <w:b/>
          <w:bCs/>
          <w:color w:val="1A1A1A"/>
          <w:sz w:val="28"/>
          <w:szCs w:val="28"/>
        </w:rPr>
        <w:t xml:space="preserve">Stichting Voice Protest</w:t>
      </w:r>
    </w:p>
    <w:p>
      <w:pPr>
        <w:spacing w:after="300"/>
        <w:jc w:val="center"/>
      </w:pPr>
      <w:r>
        <w:rPr>
          <w:color w:val="595959"/>
          <w:sz w:val="21"/>
          <w:szCs w:val="21"/>
        </w:rPr>
        <w:t xml:space="preserve">Utrecht, the Netherlands · June 2026</w:t>
      </w:r>
    </w:p>
    <w:p>
      <w:pPr>
        <w:jc w:val="center"/>
      </w:pPr>
      <w:r>
        <w:rPr>
          <w:color w:val="595959"/>
          <w:sz w:val="19"/>
          <w:szCs w:val="19"/>
        </w:rPr>
        <w:t xml:space="preserve">github.com/cero-absoluto/vozciudadana · AGPL 3.0</w:t>
      </w:r>
    </w:p>
    <w:p/>
    <w:p>
      <w:r>
        <w:t>――――――――――――――――――――――――――――――――――――――――</w:t>
      </w:r>
    </w:p>
    <w:p>
      <w:r>
        <w:rPr>
          <w:b/>
        </w:rPr>
        <w:t>Session corrections — July 2026 (second pass)</w:t>
      </w:r>
    </w:p>
    <w:p>
      <w:r>
        <w:rPr>
          <w:b w:val="0"/>
        </w:rPr>
        <w:t>Three corrections applied across canonical documents following review against the deployed codebase (v67):</w:t>
      </w:r>
    </w:p>
    <w:p>
      <w:r>
        <w:rPr>
          <w:b w:val="0"/>
        </w:rPr>
        <w:t>1. Methodology v3.5-beta → v1.0. The beta designation was removed. The document is now the canonical reference for participation verification. A changelog section was added.</w:t>
      </w:r>
    </w:p>
    <w:p>
      <w:r>
        <w:rPr>
          <w:b w:val="0"/>
        </w:rPr>
        <w:t>2. Integrity version 2 language corrected. The phrase "is available from integrity version 2" in both the Methodology (§6) and the AuditAlignment (§integrity) has been corrected to "will be available from integrity version 2". The internal seal (version 1) remains the only deployed mechanism. The correction removes a factual inaccuracy that overstated the current platform capabilities.</w:t>
      </w:r>
    </w:p>
    <w:p>
      <w:r>
        <w:rPr>
          <w:b w:val="0"/>
        </w:rPr>
        <w:t>3. Reliability score formula formalised. The score (60–95%) was implemented in the codebase but undocumented in any canonical reference. §4.1 has been added to the Methodology v1.0 documenting the exact formula: GPS+SIM+IP=95%, GPS+SIM=92%, SIM+IP=85%, SIM only=75%, IP only=60%. No code change — documentation only.</w:t>
      </w:r>
    </w:p>
    <w:p>
      <w:r>
        <w:rPr>
          <w:b w:val="0"/>
        </w:rPr>
        <w:t>4. Source admissibility clarified as unconditional. The phrase "where required" in §3 of the Methodology was ambiguous and has been removed. Source admissibility is required for all convocatorias without exception, consistent with the deployed backend schema.</w:t>
      </w:r>
    </w:p>
    <w:p>
      <w:r>
        <w:rPr>
          <w:b w:val="0"/>
        </w:rPr>
        <w:t>AuditAlignment updated to v2.2 incorporating correction #2. Methodology updated to v1.0 incorporating corrections #1, #2, #3, #4. Security Audit updated to v1.1 (status and changelog only).</w:t>
      </w:r>
    </w:p>
    <w:p>
      <w:pPr>
        <w:spacing w:after="160" w:line="320" w:lineRule="auto"/>
      </w:pPr>
      <w:r>
        <w:t xml:space="preserve">――――――――――――――――――――――――――――――――――――――――</w:t>
      </w:r>
    </w:p>
    <w:p>
      <w:pPr>
        <w:pStyle w:val="Heading1"/>
        <w:spacing w:after="200" w:line="320" w:lineRule="auto"/>
      </w:pPr>
      <w:r>
        <w:rPr>
          <w:b/>
          <w:color w:val="1A1A1A"/>
          <w:sz w:val="30"/>
          <w:szCs w:val="30"/>
        </w:rPr>
        <w:t xml:space="preserve">Session corrections — 12 July 2026</w:t>
      </w:r>
    </w:p>
    <w:p>
      <w:pPr>
        <w:spacing w:after="160" w:line="320" w:lineRule="auto"/>
      </w:pPr>
      <w:r>
        <w:t xml:space="preserve">An end-to-end testing session was conducted against a live regional convocatoria (Cantabria, based on the Las Llamas case in Santander), using real Spanish SIM adhesions from Santander and iterating through public reports across codebase versions v68 to v73. All test convocatorias and adhesions were deleted afterwards. The session produced ten implementation fixes, two design decisions, one piece of empirical evidence for the Methodology, and updates to two canonical documents. Full technical detail per fix lives in the repository audit trail; this entry records what changed at the documentation level and why.</w:t>
      </w:r>
    </w:p>
    <w:p>
      <w:pPr>
        <w:spacing w:after="160" w:line="320" w:lineRule="auto"/>
      </w:pPr>
      <w:r>
        <w:rPr>
          <w:b/>
        </w:rPr>
        <w:t xml:space="preserve">1. Territorial classification fixes.</w:t>
      </w:r>
    </w:p>
    <w:p>
      <w:pPr>
        <w:spacing w:after="160" w:line="320" w:lineRule="auto"/>
      </w:pPr>
      <w:r>
        <w:t xml:space="preserve">Three independent conditions written for the local scope only ("local-only family") silently broke the regional path: the reinforce button was not shown, the reverse-geocode zoom level was wrong, and — critically — the single-use GPS update token was never issued for regional convocatorias, making the entire regional reinforcement flow unreachable. Separately, the national/international grouping of the public report compared localized country names from mixed-language providers ("Spain" vs "España"), misclassifying every domestic no-GPS adhesion as international. Fixed with a new pais_code column (ISO 3166-1 alpha-2, migration 20260712_adhesions_pais_code.sql) captured at verification time; classification now compares codes, never names. Lesson recorded: every condition on a shared local/regional code path is a silent failure point; territorial features must be tested in both scopes from day one.</w:t>
      </w:r>
    </w:p>
    <w:p>
      <w:pPr>
        <w:spacing w:after="160" w:line="320" w:lineRule="auto"/>
      </w:pPr>
      <w:r>
        <w:rPr>
          <w:b/>
        </w:rPr>
        <w:t xml:space="preserve">2. Reliability of the reinforcement chain.</w:t>
      </w:r>
    </w:p>
    <w:p>
      <w:pPr>
        <w:spacing w:after="160" w:line="320" w:lineRule="auto"/>
      </w:pPr>
      <w:r>
        <w:t xml:space="preserve">The insert of the GPS update token did not check its error result: on failure the backend still returned the generated token to the client (a "phantom token"), producing undiagnosable 404s. The insert is now error-checked and the full reinforcement path is instrumented with structured logs. The client previously gave implicit visual confirmation when the browser granted the GPS permission regardless of server outcome; confirmation is now shown only on a successful server response, and failures surface an explicit error in all four languages.</w:t>
      </w:r>
    </w:p>
    <w:p>
      <w:pPr>
        <w:spacing w:after="160" w:line="320" w:lineRule="auto"/>
      </w:pPr>
      <w:r>
        <w:rPr>
          <w:b/>
        </w:rPr>
        <w:t xml:space="preserve">3. Design decision — reinforcement token persistence (revision of a June 2026 decision).</w:t>
      </w:r>
    </w:p>
    <w:p>
      <w:pPr>
        <w:spacing w:after="160" w:line="320" w:lineRule="auto"/>
      </w:pPr>
      <w:r>
        <w:t xml:space="preserve">The June decision stored the single-use GPS update token in sessionStorage ("expires with session"), which in practice reduced the token’s 24-hour window to "until the tab closes" — unusable on mobile. Revised: the token is now persisted client-side with an explicit 24-hour expiry, removed on use, expiry or failure. Privacy cost assessed as negligible: the token is a random single-use UUID carrying no personal data. This enables the intended use case (join from home, reinforce from the neighbourhood) and a re-entry card on the convocatoria detail screen while the token is alive.</w:t>
      </w:r>
    </w:p>
    <w:p>
      <w:pPr>
        <w:spacing w:after="160" w:line="320" w:lineRule="auto"/>
      </w:pPr>
      <w:r>
        <w:rPr>
          <w:b/>
        </w:rPr>
        <w:t xml:space="preserve">4. Design decision — the geographic signal is offered at the moment of joining.</w:t>
      </w:r>
    </w:p>
    <w:p>
      <w:pPr>
        <w:spacing w:after="160" w:line="320" w:lineRule="auto"/>
      </w:pPr>
      <w:r>
        <w:t xml:space="preserve">For local and regional convocatorias, a one-time interstitial now appears when the participant taps "Join": it explains that location turns the adhesion into verified territorial evidence in the public report, states that coordinates are never stored (only the derived administrative area), and offers two equivalent choices — enable location, or continue without. Both proceed to verification; the choice is remembered per convocatoria so the prompt never repeats. Rationale: location granted at joining travels with the adhesion itself, removing the dependency on the reinforcement chain (empirically the most fragile path in the system), while the post-adhesion reinforcement remains as a safety net. Location remains optional and non-gating, consistent with the 21 June 2026 design note.</w:t>
      </w:r>
    </w:p>
    <w:p>
      <w:pPr>
        <w:spacing w:after="160" w:line="320" w:lineRule="auto"/>
      </w:pPr>
      <w:r>
        <w:rPr>
          <w:b/>
        </w:rPr>
        <w:t xml:space="preserve">5. Empirical evidence for the Methodology.</w:t>
      </w:r>
    </w:p>
    <w:p>
      <w:pPr>
        <w:spacing w:after="160" w:line="320" w:lineRule="auto"/>
      </w:pPr>
      <w:r>
        <w:t xml:space="preserve">During testing, SIMs physically located in Santander were geolocated by mobile-carrier IP to Llodio (Basque Country), Badajoz (Extremadura) and Madrid across successive reports in the same morning. This confirms the design premise that mobile-carrier IP geolocation resolves to operator gateways, not to the participant’s location, and is now cited in the Methodology as the empirical basis for never counting IP as territorial evidence. The test report PDFs are retained as an annex.</w:t>
      </w:r>
    </w:p>
    <w:p>
      <w:pPr>
        <w:spacing w:after="160" w:line="320" w:lineRule="auto"/>
      </w:pPr>
      <w:r>
        <w:rPr>
          <w:b/>
        </w:rPr>
        <w:t xml:space="preserve">6. Additional fixes.</w:t>
      </w:r>
    </w:p>
    <w:p>
      <w:pPr>
        <w:spacing w:after="160" w:line="320" w:lineRule="auto"/>
      </w:pPr>
      <w:r>
        <w:t xml:space="preserve">The share message generated immediately after joining fell back to a generic platform link with no title (the route carried no convocatoria id at that moment); it now includes the convocatoria title and a direct link in all four languages. Regional convocatorias were rendered at the country centroid on the map instead of at the selected region’s coordinates. The public report PDF did not export the territorial verification block (its principal evidence). The phone-verification screen showed no information about what was being joined; it now shows the convocatoria’s title, target, description and demands — informed participation at the moment of consent.</w:t>
      </w:r>
    </w:p>
    <w:p>
      <w:pPr>
        <w:spacing w:after="160" w:line="320" w:lineRule="auto"/>
      </w:pPr>
      <w:r>
        <w:t xml:space="preserve">Documents updated in this session: Methodology v1.0 → v1.1 (§2 documents the moment of the geographic signal and the 24-hour reinforcement window; §4 documents the empirical IP limitation and the ISO-code basis of country classification). Security Audit v1.1 → v1.2 (classification-integrity fixes and hardening documented; attack surface unchanged). The master design document’s user-flow section, data model and history were updated to match. The AuditAlignment (v2.2) was verified against every change in this session and required no modification: no claim it makes — location as optional and non-gating, classification as informative rather than exclusionary, GPS contributing to reliability rather than eligibility — is altered by any of the above. It remains at v2.2; recording that verification here is the change.</w:t>
      </w:r>
    </w:p>
    <w:p/>
    <w:p>
      <w:r>
        <w:t>――――――――――――――――――――――――――――――――――――――――</w:t>
      </w:r>
    </w:p>
    <w:p>
      <w:r>
        <w:rPr>
          <w:b/>
        </w:rPr>
        <w:t>Session corrections — 16 July 2026</w:t>
      </w:r>
    </w:p>
    <w:p>
      <w:pPr>
        <w:spacing w:after="160" w:line="320" w:lineRule="auto"/>
      </w:pPr>
      <w:r>
        <w:rPr/>
        <w:t xml:space="preserve">A UX review of the join flow as reached from a shared link (e.g. WhatsApp) and of the phone/GPS/confirmation sequence produced four fixes, recorded here at the documentation level. Full change detail lives in the repository commit history; this entry records what changed and why.</w:t>
      </w:r>
    </w:p>
    <w:p>
      <w:pPr>
        <w:spacing w:after="160" w:line="320" w:lineRule="auto"/>
      </w:pPr>
      <w:r>
        <w:rPr>
          <w:b/>
        </w:rPr>
        <w:t xml:space="preserve">1. Direct-link resilience.</w:t>
      </w:r>
    </w:p>
    <w:p>
      <w:pPr>
        <w:spacing w:after="160" w:line="320" w:lineRule="auto"/>
      </w:pPr>
      <w:r>
        <w:rPr/>
        <w:t xml:space="preserve">The detail screen depended entirely on the client-side protest list already being loaded, with no fetch of its own and no loading or error state. A link opened before that list resolved, or pointing to a convocatoria that had since closed (the list endpoint excludes closed convocatorias by design), rendered a blank screen. Fixed with a direct by-id fetch fallback (reusing the existing single-protest endpoint), a loading state, and an explicit not-found state. A closed convocatoria reached this way now shows a dedicated notice linking to its public report, and is excluded from home listings, the map and the global participant counter — it remains visible only on its own detail and report screens.</w:t>
      </w:r>
    </w:p>
    <w:p>
      <w:pPr>
        <w:spacing w:after="160" w:line="320" w:lineRule="auto"/>
      </w:pPr>
      <w:r>
        <w:rPr>
          <w:b/>
        </w:rPr>
        <w:t xml:space="preserve">2. GPS interstitial — trigger point moved, not removed.</w:t>
      </w:r>
    </w:p>
    <w:p>
      <w:pPr>
        <w:spacing w:after="160" w:line="320" w:lineRule="auto"/>
      </w:pPr>
      <w:r>
        <w:rPr/>
        <w:t xml:space="preserve">The interstitial explaining that enabling location strengthens the local/regional public report used to appear immediately on opening the join screen, before the participant had done anything. It now appears right after the participant enters their phone number and requests the code. This is a timing change within the same pre-adhesion flow, not an architectural one: the same gate applies, the same data still travels in the same adhesion call handled by the confirmation screen, and the choice remains fully optional and non-gating. The interstitial’s text was also rewritten to state the consequence directly — that a report without a confirmed location for a local/regional event is enumerated as evidence-poor for that territory in the same way an unconfirmed one is — replacing a more abstract “improves credibility” framing, in the same register already used elsewhere in the interface.</w:t>
      </w:r>
    </w:p>
    <w:p>
      <w:pPr>
        <w:spacing w:after="160" w:line="320" w:lineRule="auto"/>
      </w:pPr>
      <w:r>
        <w:rPr>
          <w:b/>
        </w:rPr>
        <w:t xml:space="preserve">3. Confirmation screen — simulated delay and placeholder receipt removed.</w:t>
      </w:r>
    </w:p>
    <w:p>
      <w:pPr>
        <w:spacing w:after="160" w:line="320" w:lineRule="auto"/>
      </w:pPr>
      <w:r>
        <w:rPr/>
        <w:t xml:space="preserve">The confirmation screen ran a fixed three-message, 2.55-second simulated progress sequence before making the real adhesion call, and separately generated a 64-character placeholder value formatted like a hash but derived from nothing (Math.random(), not the adhesion). The placeholder was never rendered in the template, so no participant was shown a false receipt, but the message sequence advertised a step (“generating your receipt”) that produced nothing visible, and the simulated wait added to, rather than reflected, real latency. Both were removed: the spinner shows a single message for the actual duration of the adhesion call, and the placeholder generation was deleted.</w:t>
      </w:r>
    </w:p>
    <w:p>
      <w:pPr>
        <w:spacing w:after="160" w:line="320" w:lineRule="auto"/>
      </w:pPr>
      <w:r>
        <w:rPr>
          <w:b/>
        </w:rPr>
        <w:t xml:space="preserve">4. Post-adhesion GPS reinforcement — resolved (retired, not built).</w:t>
      </w:r>
    </w:p>
    <w:p>
      <w:pPr>
        <w:spacing w:after="160" w:line="320" w:lineRule="auto"/>
      </w:pPr>
      <w:r>
        <w:rPr/>
        <w:t xml:space="preserve">This entry’s 12 July 2026 predecessor, and the master design document, describe a post-adhesion reinforcement mechanism: a single-use, 24-hour GPS update token offered as the first action on the confirmation screen, with a re-entry card on the detail screen for participants who join from home and reinforce later from the relevant territory. A review of the current codebase found no component rendering this: the interface strings for it existed in all four locale files but were referenced nowhere, the detail screen had no re-entry card, and the confirmation screen’s only trace was a code comment describing the token storage without any accompanying implementation. This was initially recorded here as an open item pending a decision between building the mechanism or retiring it.</w:t>
      </w:r>
    </w:p>
    <w:p>
      <w:pPr>
        <w:spacing w:after="160" w:line="320" w:lineRule="auto"/>
      </w:pPr>
      <w:r>
        <w:rPr/>
        <w:t xml:space="preserve">Resolution (same day, 16 July 2026): a review of the chat history in which the platform was built found that this was not an abandoned feature but a deliberate replacement. In a development session on this same date, the geographic signal was moved earlier in the flow — captured before the adhesion call rather than after it (see the entry above) — on the reasoning, recorded verbatim in that session, that location travelling with the initial adhesion is more reliable than a post-adhesion token. The post-adhesion mechanism was superseded at that point, not before; the interface strings and the code comment referencing it were simply never cleaned up afterwards. They have now been removed: eleven orphaned locale keys (detail.reforzarTitle/Body/Btn/Privacy/Done/Toast, detail.gpsPromptTitle/Body/Yes/Skip, and five under verify — gpsLocalInfo, gpsRegionalInfo, gpsError, gpsLocalBtn, gpsBlocked) across all four locale files, and the orphaned comment in the adhesion call in VerifyScreen.vue. No functional code changed — the mechanism was already inert. The master design document’s note on this point has been updated to record the same resolution.</w:t>
      </w:r>
    </w:p>
    <w:p>
      <w:pPr>
        <w:spacing w:after="160" w:line="320" w:lineRule="auto"/>
      </w:pPr>
      <w:r>
        <w:rPr/>
        <w:t xml:space="preserve">Documents updated in this session: the master design document’s user-flow section (GPS interstitial timing, confirmation screen actions and the receipt correction) and Design Evolution Timeline (G.3) were updated to match. The AuditAlignment (v2.2) was reviewed against every change above and requires no modification: none of them touch GPS’s status as optional and non-gating, the reliability score formula, or any eligibility rule. The Methodology and Security Audit are unaffected — no server-side, verification-model or admission-rule change occurred this session.</w:t>
      </w:r>
    </w:p>
    <w:p/>
    <w:p>
      <w:r>
        <w:t>――――――――――――――――――――――――――――――――――――――――</w:t>
      </w:r>
    </w:p>
    <w:p>
      <w:r>
        <w:rPr>
          <w:b/>
        </w:rPr>
        <w:t>Session corrections — 16 July 2026 (continued)</w:t>
      </w:r>
    </w:p>
    <w:p>
      <w:pPr>
        <w:spacing w:after="160" w:line="320" w:lineRule="auto"/>
      </w:pPr>
      <w:r>
        <w:rPr/>
        <w:t xml:space="preserve">Following the entry-flow, GPS-timing and interface-honesty corrections recorded in this session’s first entry above, the same session continued into the source-quality mechanism, SMS verification, and two further points of onboarding friction. Five changes are recorded here.</w:t>
      </w:r>
    </w:p>
    <w:p>
      <w:pPr>
        <w:spacing w:after="160" w:line="320" w:lineRule="auto"/>
      </w:pPr>
      <w:r>
        <w:rPr>
          <w:b/>
        </w:rPr>
        <w:t xml:space="preserve">1. Source admissibility hardened with two new hard rules.</w:t>
      </w:r>
    </w:p>
    <w:p>
      <w:pPr>
        <w:spacing w:after="160" w:line="320" w:lineRule="auto"/>
      </w:pPr>
      <w:r>
        <w:rPr/>
        <w:t xml:space="preserve">The informational source-quality preview shown while drafting (domain classification, fetch, keyword relevance) was found to be entirely disconnected from the real admission gate, which checked only whether the source domain was a known petition platform. Two hard rules were added to close this: social media and user-generated-content platforms (Facebook, Instagram, TikTok, Twitter/X, YouTube, Reddit, WhatsApp, Telegram, Medium, Substack, Blogspot, WordPress.com) are now rejected as sources on the same registrable-domain basis as petition platforms; and a submitted source must show a verifiable connection to the event — the recipient’s name, or at least two distinct words over four characters from the title and demands, must appear on the fetched page. Per explicit founder direction, neither rule judges documentary quality or reputation: an unrecognised or foreign-language outlet still passes, provided the connection is real. A shared module (`apps/api/src/lib/sourceCheck.js`) now backs both the preview and the real gate, so the two cannot silently diverge as they previously had for verb checking (see below). A new domain-classification tier, `official_bulletin` (official gazettes such as the BOE, BORME, the EU Official Journal and the Dutch Staatscourant), was added above `official_government` in the informational scoring, and a short classification label is now shown next to the source link on the event’s detail screen — informational only, never a gate.</w:t>
      </w:r>
    </w:p>
    <w:p>
      <w:pPr>
        <w:spacing w:after="160" w:line="320" w:lineRule="auto"/>
      </w:pPr>
      <w:r>
        <w:rPr>
          <w:b/>
        </w:rPr>
        <w:t xml:space="preserve">2. Three disagreeing verb-check implementations consolidated into one.</w:t>
      </w:r>
    </w:p>
    <w:p>
      <w:pPr>
        <w:spacing w:after="160" w:line="320" w:lineRule="auto"/>
      </w:pPr>
      <w:r>
        <w:rPr/>
        <w:t xml:space="preserve">The demand-verb admission check existed in three separate places — the real backend gate (word-boundary regex against fixed root lists), and two independent, looser, substring-based re-implementations on the frontend (one in the live source-quality preview, one in the form-submission check) — which could and did disagree: a demand containing the word “requests” as a plain noun was flagged as a prohibited verb by the frontend’s substring match, though the backend’s word-boundary check would never have rejected it. All three now share one function, `checkVerbs()`, ported verbatim from the backend’s root lists, so the preview a person sees while drafting can no longer promise a different outcome than the real gate delivers.</w:t>
      </w:r>
    </w:p>
    <w:p>
      <w:pPr>
        <w:spacing w:after="160" w:line="320" w:lineRule="auto"/>
      </w:pPr>
      <w:r>
        <w:rPr>
          <w:b/>
        </w:rPr>
        <w:t xml:space="preserve">3. Wikidata-verification field-name bug fixed in the informational score.</w:t>
      </w:r>
    </w:p>
    <w:p>
      <w:pPr>
        <w:spacing w:after="160" w:line="320" w:lineRule="auto"/>
      </w:pPr>
      <w:r>
        <w:rPr/>
        <w:t xml:space="preserve">The source-quality preview’s `wikidata_verified` flag read a form field, `focal_point_wikidata_id`, that did not exist — the real field is `target_wikidata_id`. The flag was therefore always false, silently withholding 20 of 100 possible points from the informational score for every event, regardless of whether the recipient had genuinely been verified. This affected only the informational indicator; the real, independently-computed Wikidata admission check (Security Audit, Vulnerability #3) was never affected.</w:t>
      </w:r>
    </w:p>
    <w:p>
      <w:pPr>
        <w:spacing w:after="160" w:line="320" w:lineRule="auto"/>
      </w:pPr>
      <w:r>
        <w:rPr>
          <w:b/>
        </w:rPr>
        <w:t xml:space="preserve">4. Event creation no longer shows a false success on a real rejection — and the resulting phantom-entry side effect is closed too.</w:t>
      </w:r>
    </w:p>
    <w:p>
      <w:pPr>
        <w:spacing w:after="160" w:line="320" w:lineRule="auto"/>
      </w:pPr>
      <w:r>
        <w:rPr/>
        <w:t xml:space="preserve">The creation form called the store’s create action without awaiting it and without a catch handler, so it always navigated to the home screen and displayed a success toast, regardless of whether the backend had actually accepted the event — a rejection (invalid verb, blocked domain, now also the two new source rules) was silently swallowed. This was corrected earlier in the session: the call is now awaited, and a real rejection shows the server’s actual reason instead of navigating away. A live test the same day surfaced a residual effect of the underlying store logic: on a genuine network failure (as opposed to a real rejection), an optimistic local-only fallback entry was still added to the in-memory event list to avoid the interface feeling frozen — a design that predates this session, from when any failure was masked as success. Since failures are now reported honestly and the form no longer navigates away on one, this fallback no longer served its original purpose; it only left a phantom, never-persisted card visible in the local list until the page was reloaded, which is what the live test observed as an apparent duplicate event. The fallback has been removed outright; a genuine network failure now surfaces the same honest error as a real rejection, with no entry added to the list either way.</w:t>
      </w:r>
    </w:p>
    <w:p>
      <w:pPr>
        <w:spacing w:after="160" w:line="320" w:lineRule="auto"/>
      </w:pPr>
      <w:r>
        <w:rPr>
          <w:b/>
        </w:rPr>
        <w:t xml:space="preserve">5. SMS verification-code autofill; two points of onboarding friction addressed.</w:t>
      </w:r>
    </w:p>
    <w:p>
      <w:pPr>
        <w:spacing w:after="160" w:line="320" w:lineRule="auto"/>
      </w:pPr>
      <w:r>
        <w:rPr/>
        <w:t xml:space="preserve">The six-digit code entry was instrumented for autofill: the WebOTP API on Android/Chrome (the code is read from the SMS and the form submits automatically, no action needed), and the passive `autocomplete="one-time-code"` suggestion on iOS Safari, which never implemented the WebOTP API and relies on a different, JS-free mechanism. Both require the SMS to end with a domain-bound line — `@voiceprotest.org #123456` — which is not part of Twilio Verify’s default or pre-approved templates; a custom template was requested from Twilio support on 16 July 2026 (registration typically takes 2–4 weeks) and is pending at time of writing. Until it is approved, code entry remains fully manual with no change in behaviour — the code was written defensively so it is inert, not broken, in the absence of the domain-bound format. Separately, a real user reported not understanding what the phone-entry screen was asking; its heading was rewritten from a bare label (“Your phone number”) to a full sentence stating what happens and why, paired with a one-line privacy guarantee (“transformed into a secret, undecipherable code”) chosen after several iterations to avoid both “stored/not stored” phrasing, which reads as a generic privacy-policy disclaimer, and “irreversible,” which the founder noted could be misread as describing the person’s own action rather than the data. And the home screen’s persistent device-status bar was reduced from three lines (a confidence percentage, a GPS-activation prompt, and SIM/IP/document indicator dots) to one (detected country only): the percentage and the prompt were found to serve no decision actually available on that screen, since location only matters within a specific local or regional event and is asked for again there regardless of anything done on the home screen beforehand.</w:t>
      </w:r>
    </w:p>
    <w:p>
      <w:pPr>
        <w:spacing w:after="160" w:line="320" w:lineRule="auto"/>
      </w:pPr>
      <w:r>
        <w:rPr/>
        <w:t xml:space="preserve">Documents updated in this session: the master design document (detail-screen description corrected — a “geographic validation panel” that this review found does not exist anywhere in the current flow was removed rather than left inaccurate; Steps 1, 3, 4 and 5 of the join flow updated; Design Evolution Timeline extended) and this Audit Trail entry. The Security Audit was updated to v1.3 (the two new hard rules, filed as additive hardening of the admission boundary rather than vulnerabilities, and the wikidata_verified correctness fix). The Methodology was updated to v1.2 (§3 source-admissibility rules expanded from one condition to three; §2 corrected to remove a stale reference to the post-adhesion reinforcement token retired earlier in this session). The AuditAlignment was updated to v2.3 — unlike prior sessions, this one required substantive changes, not just verification: §16 gains two new subsections (16.5, 16.6) for the two new admission rules, and its closing summary is corrected from “these four rules” to “these six rules.” A further documentation-only correction, found while reviewing the master design document for this update and unrelated to today’s code changes: an earlier version of that document described a live visual hash representation appearing as the participant types their phone number. No such element exists in the current phone-entry screen, nor was one found anywhere in the join flow; the description has been removed rather than left inaccurate, and is recorded here since it was found and fixed in the same pass as the changes above, though it did not originate from them.</w:t>
      </w:r>
    </w:p>
    <w:p/>
    <w:p>
      <w:r>
        <w:t>――――――――――――――――――――――――――――――――――――――――</w:t>
      </w:r>
    </w:p>
    <w:p>
      <w:r>
        <w:rPr>
          <w:b/>
        </w:rPr>
        <w:t>Session corrections — 18 July 2026</w:t>
      </w:r>
    </w:p>
    <w:p>
      <w:pPr>
        <w:spacing w:after="160" w:line="320" w:lineRule="auto"/>
      </w:pPr>
      <w:r>
        <w:rPr/>
        <w:t xml:space="preserve">This entry documents Discoverability Phase 2 (reports.voiceprotest.org) — agreed in principle in the previous session’s planning discussion, implemented, DNS-configured, deployed, and hardened over the course of this session — and a same-day internal security review of the result.</w:t>
      </w:r>
    </w:p>
    <w:p>
      <w:pPr>
        <w:spacing w:after="160" w:line="320" w:lineRule="auto"/>
      </w:pPr>
      <w:r>
        <w:rPr>
          <w:b/>
        </w:rPr>
        <w:t xml:space="preserve">1. reports.voiceprotest.org implemented, avoiding both candidate fallbacks.</w:t>
      </w:r>
    </w:p>
    <w:p>
      <w:pPr>
        <w:spacing w:after="160" w:line="320" w:lineRule="auto"/>
      </w:pPr>
      <w:r>
        <w:rPr/>
        <w:t xml:space="preserve">The main application is a hash-routed single-page app; everything after the "#" in a URL like voiceprotest.org/#/detail/:id is client-side only, so no crawler or link-preview bot can distinguish one convocatoria’s URL from another’s. Two designs were considered to solve this and both were rejected before implementation, on the external auditor’s explicit request to exhaust simpler separation first: a Cloudflare-based proxy branching on user-agent (rejected — Google’s current guidance discourages user-agent-based dynamic rendering as a long-term solution, and it would have added a new infrastructure dependency and a cloaking-adjacent pattern); and having the Railway backend commit generated HTML directly into the frontend’s GitHub repository (rejected — would have required granting the backend a new, broadly-scoped write credential to source control). The implemented design needed neither: reports.voiceprotest.org is a second custom domain pointed at the same Railway service as api.voiceprotest.org (confirmed same detected port, 8080), serving genuinely identical content to a person and a crawler — no branching, no cloaking — generated fresh from Supabase on every request via a new route file, apps/api/src/routes/reports.js, gated on the Host header so api.voiceprotest.org is entirely unaffected.</w:t>
      </w:r>
    </w:p>
    <w:p>
      <w:pPr>
        <w:spacing w:after="160" w:line="320" w:lineRule="auto"/>
      </w:pPr>
      <w:r>
        <w:rPr>
          <w:b/>
        </w:rPr>
        <w:t xml:space="preserve">2. DNS and Search Console setup, including two real troubleshooting findings worth recording.</w:t>
      </w:r>
    </w:p>
    <w:p>
      <w:pPr>
        <w:spacing w:after="160" w:line="320" w:lineRule="auto"/>
      </w:pPr>
      <w:r>
        <w:rPr/>
        <w:t xml:space="preserve">DNS was configured at the registrar (CNAME + Railway’s domain-ownership TXT record, following the same pattern as the existing api subdomain); both domains show verified/active in Railway with a shared detected port. Two non-obvious issues surfaced during setup and are recorded here in case they recur: first, Railway’s verification TXT value was twice copied incomplete from a screenshot (32 of 64 hex characters, then correctly recovered at full length via the console’s copy control) — screenshots of long values should not be trusted as complete without an explicit character-count or copy-button check. Second, voiceprotest.org was added to Google Search Console as a Domain-type property (not URL-prefix), specifically because it automatically covers every subdomain — including reports.voiceprotest.org — under one DNS verification, avoiding a second separate property and verification step for the new subdomain.</w:t>
      </w:r>
    </w:p>
    <w:p>
      <w:pPr>
        <w:spacing w:after="160" w:line="320" w:lineRule="auto"/>
      </w:pPr>
      <w:r>
        <w:rPr>
          <w:b/>
        </w:rPr>
        <w:t xml:space="preserve">3. schema.org validated for both convocatoria states, one real defect found and fixed.</w:t>
      </w:r>
    </w:p>
    <w:p>
      <w:pPr>
        <w:spacing w:after="160" w:line="320" w:lineRule="auto"/>
      </w:pPr>
      <w:r>
        <w:rPr/>
        <w:t xml:space="preserve">Google’s Rich Results Test initially reported "No items detected" for an active convocatoria’s Event markup, despite a successful crawl — traced to a missing location property. Google’s Event rich-result guidelines require location even for an online event; omitting it does not surface as a validation error, it silently disqualifies the entire block from eligibility, which is why the test reported no items rather than a fixable warning. Fixed by adding a VirtualLocation with a url pointing to the join link. Re-tested successfully on an active convocatoria (Event, all required fields recognised) and, in the same pass, on a closed report (Dataset, valid on first attempt, no changes needed) — confirming both branches of the schema logic are correct.</w:t>
      </w:r>
    </w:p>
    <w:p>
      <w:pPr>
        <w:spacing w:after="160" w:line="320" w:lineRule="auto"/>
      </w:pPr>
      <w:r>
        <w:rPr>
          <w:b/>
        </w:rPr>
        <w:t xml:space="preserve">4. Same-day internal security review, structured against a public-trust rubric, and three resulting fixes.</w:t>
      </w:r>
    </w:p>
    <w:p>
      <w:pPr>
        <w:spacing w:after="160" w:line="320" w:lineRule="auto"/>
      </w:pPr>
      <w:r>
        <w:rPr/>
        <w:t xml:space="preserve">Because reports.voiceprotest.org is a new, unauthenticated, publicly reachable surface, it was reviewed the same day against a structured rubric (public trust, privacy, transparency, security, simplicity, long-term sustainability) rather than assumed sound because it worked in manual testing. The review’s overall verdict was "yes, with changes": the architecture itself was endorsed — net positive for transparency, no new secrets, no personal data — but it identified three concrete hardening gaps, all fixed the same day: (a) /sitemap.xml, the single most expensive query in the plugin (up to 5,000 rows, unauthenticated), had no rate limit more specific than the app-wide 120 req/min already in place in server.js — an initial informal pass had incorrectly described this limit as entirely absent, corrected once the global registration was found; a stricter, route-scoped limit (20 req/min) was added via `@fastify/rate-limit`’s per-route config option; (b) every hit to /:id re-queried Supabase with no caching at all — fine at current traffic, a real cost-amplification vector once a link is shared widely; fixed with a bounded, 30-second in-memory cache keyed by convocatoria id, capped at 2,000 entries with oldest-first eviction so an enumeration attempt cannot grow it without limit; (c) fuente_url was rendered as a clickable link with only HTML-escaping applied, which prevents broken markup but not a non-http(s) scheme (e.g. javascript:) from being clickable if one ever reached the field by some path other than the existing creation-time admission rules; fixed with a safeHref() check restricting rendered links to http(s) only, verified against both a legitimate URL and a javascript: payload.</w:t>
      </w:r>
    </w:p>
    <w:p>
      <w:pPr>
        <w:spacing w:after="160" w:line="320" w:lineRule="auto"/>
      </w:pPr>
      <w:r>
        <w:rPr/>
        <w:t xml:space="preserve">Documents updated in this session: the master design document gained a new "Public Discoverability Layer" section describing reports.voiceprotest.org in full (rationale, rejected alternatives, schema.org detail, the three hardening fixes) and a new Design Evolution Timeline entry. The Security Audit was updated to v1.4, adding reports.voiceprotest.org to the documented attack surface and recording the three fixes as hardening, not vulnerabilities, plus a correction to an earlier informal claim that no rate limit existed at all. The AuditAlignment received a verification-only note (no substantive change, remains v2.3 in content): the new surface was checked against every rule in §16 and introduces no new admission rule, no new verification signal, and no eligibility change — it is a read-only rendering of already-public data. The Methodology is unaffected — no participant-facing verification signal changed.</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Stichting Voice Protest · Utrecht ·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b/>
        <w:bCs/>
        <w:color w:val="595959"/>
        <w:sz w:val="16"/>
        <w:szCs w:val="16"/>
      </w:rPr>
      <w:t xml:space="preserve">VOICE PROTEST — AUDIT TRAIL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20" w:before="300"/>
      <w:outlineLvl w:val="1"/>
    </w:pPr>
    <w:rPr>
      <w:rFonts w:ascii="Calibri" w:cs="Calibri" w:eastAsia="Calibri" w:hAnsi="Calibri"/>
      <w:b/>
      <w:bCs/>
      <w:color w:val="1B7F4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2026-06-17T21:59:42.379Z</dcterms:created>
  <dcterms:modified xsi:type="dcterms:W3CDTF">2026-06-17T21:59:42.405Z</dcterms:modified>
</cp:coreProperties>
</file>

<file path=docProps/custom.xml><?xml version="1.0" encoding="utf-8"?>
<Properties xmlns="http://schemas.openxmlformats.org/officeDocument/2006/custom-properties" xmlns:vt="http://schemas.openxmlformats.org/officeDocument/2006/docPropsVTypes"/>
</file>