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p>
      <w:pPr>
        <w:spacing w:after="160" w:line="300"/>
        <w:jc w:val="left"/>
      </w:pPr>
      <w:r>
        <w:rPr>
          <w:b w:val="false"/>
          <w:bCs w:val="false"/>
          <w:i w:val="false"/>
          <w:iCs w:val="false"/>
          <w:color w:val="1A1A1A"/>
          <w:sz w:val="21"/>
          <w:szCs w:val="21"/>
        </w:rPr>
        <w:t xml:space="preserve">Voice Protest does not assess the truthfulness of claims. It may provide informational indicators regarding the documentary quality and apparent relevance of sources submitted by event creators, without affecting publication unless platform admission rules are violated.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pStyle w:val="ListParagraph"/>
        <w:numPr>
          <w:ilvl w:val="0"/>
          <w:numId w:val="2"/>
        </w:numPr>
        <w:spacing w:after="90" w:line="280"/>
      </w:pPr>
      <w:r>
        <w:rPr>
          <w:b w:val="false"/>
          <w:bCs w:val="false"/>
          <w:color w:val="1A1A1A"/>
          <w:sz w:val="21"/>
          <w:szCs w:val="21"/>
        </w:rPr>
        <w:t xml:space="preserve">designed for complaints directed at political parties — parties are not public institutions in the sense required by the platform, even when they hold government office. The institution that exercises public power is the government, parliament or ministry, not the party that controls it.</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Platform Admission Rules</w:t>
      </w:r>
    </w:p>
    <w:p>
      <w:pPr>
        <w:spacing w:after="160" w:line="300"/>
        <w:jc w:val="left"/>
      </w:pPr>
      <w:r>
        <w:rPr>
          <w:b w:val="false"/>
          <w:bCs w:val="false"/>
          <w:i w:val="false"/>
          <w:iCs w:val="false"/>
          <w:color w:val="1A1A1A"/>
          <w:sz w:val="21"/>
          <w:szCs w:val="21"/>
        </w:rPr>
        <w:t xml:space="preserve">The distinction between a public abuse report and a petition is not only conceptual — it is enforced technically at the API level. The following rules apply to every event creation request, regardless of whether it originates from the web interface or a direct API call. They cannot be bypassed by calling the API directly.</w:t>
      </w:r>
    </w:p>
    <w:p>
      <w:pPr>
        <w:pStyle w:val="Heading2"/>
        <w:spacing w:after="100" w:before="240"/>
      </w:pPr>
      <w:r>
        <w:rPr>
          <w:b/>
          <w:bCs/>
          <w:color w:val="1B7F4D"/>
          <w:sz w:val="23"/>
          <w:szCs w:val="23"/>
        </w:rPr>
        <w:t xml:space="preserve">16.1 — Abuse type required and closed-list</w:t>
      </w:r>
    </w:p>
    <w:p>
      <w:pPr>
        <w:spacing w:after="160" w:line="300"/>
        <w:jc w:val="left"/>
      </w:pPr>
      <w:r>
        <w:rPr>
          <w:b w:val="false"/>
          <w:bCs w:val="false"/>
          <w:i w:val="false"/>
          <w:iCs w:val="false"/>
          <w:color w:val="1A1A1A"/>
          <w:sz w:val="21"/>
          <w:szCs w:val="21"/>
        </w:rPr>
        <w:t xml:space="preserve">Every event must declare one of the platform's accepted abuse types: corruption or embezzlement, nepotism or favoritism, violation of fundamental rights, serious negligence, repression or censorship, opacity or lack of accountability, or other public power abuse. Arbitrary strings and null values are rejected. This rule ensures Voice Protest cannot be used for improvement requests, political preferences or general campaigns that do not allege a specific form of public abuse.</w:t>
      </w:r>
    </w:p>
    <w:p>
      <w:pPr>
        <w:pStyle w:val="Heading2"/>
        <w:spacing w:after="100" w:before="240"/>
      </w:pPr>
      <w:r>
        <w:rPr>
          <w:b/>
          <w:bCs/>
          <w:color w:val="1B7F4D"/>
          <w:sz w:val="23"/>
          <w:szCs w:val="23"/>
        </w:rPr>
        <w:t xml:space="preserve">16.2 — Petition platforms blocked as sources</w:t>
      </w:r>
    </w:p>
    <w:p>
      <w:pPr>
        <w:spacing w:after="160" w:line="300"/>
        <w:jc w:val="left"/>
      </w:pPr>
      <w:r>
        <w:rPr>
          <w:b w:val="false"/>
          <w:bCs w:val="false"/>
          <w:i w:val="false"/>
          <w:iCs w:val="false"/>
          <w:color w:val="1A1A1A"/>
          <w:sz w:val="21"/>
          <w:szCs w:val="21"/>
        </w:rPr>
        <w:t xml:space="preserve">Sources from petition platforms — including change.org, avaaz.org and similar services — are rejected at the API boundary. A petition is not a documentary source: it does not prove that an abuse occurred, it is itself a collective expression. Voice Protest requires a source that documents the reported fact: a news article, official document or statistical data.</w:t>
      </w:r>
    </w:p>
    <w:p>
      <w:pPr>
        <w:pStyle w:val="Heading2"/>
        <w:spacing w:after="100" w:before="240"/>
      </w:pPr>
      <w:r>
        <w:rPr>
          <w:b/>
          <w:bCs/>
          <w:color w:val="1B7F4D"/>
          <w:sz w:val="23"/>
          <w:szCs w:val="23"/>
        </w:rPr>
        <w:t xml:space="preserve">16.3 — Demands must use action verbs</w:t>
      </w:r>
    </w:p>
    <w:p>
      <w:pPr>
        <w:spacing w:after="160" w:line="300"/>
        <w:jc w:val="left"/>
      </w:pPr>
      <w:r>
        <w:rPr>
          <w:b w:val="false"/>
          <w:bCs w:val="false"/>
          <w:i w:val="false"/>
          <w:iCs w:val="false"/>
          <w:color w:val="1A1A1A"/>
          <w:sz w:val="21"/>
          <w:szCs w:val="21"/>
        </w:rPr>
        <w:t xml:space="preserve">Demands phrased exclusively as requests, proposals or improvement suggestions are rejected. The backend checks for the presence of action verbs (demand, denounce, resign, investigate, halt, suspend) and the absence of request verbs (ask, request, propose, suggest, improve) without any action verb. A demand that contains both is accepted — the platform does not require perfect language, only that the demand is directed at an institution rather than requesting a favour from it.</w:t>
      </w:r>
    </w:p>
    <w:p>
      <w:pPr>
        <w:pStyle w:val="Heading2"/>
        <w:spacing w:after="100" w:before="240"/>
      </w:pPr>
      <w:r>
        <w:rPr>
          <w:b/>
          <w:bCs/>
          <w:color w:val="1B7F4D"/>
          <w:sz w:val="23"/>
          <w:szCs w:val="23"/>
        </w:rPr>
        <w:t xml:space="preserve">16.4 — Recipients must be public institutions</w:t>
      </w:r>
    </w:p>
    <w:p>
      <w:pPr>
        <w:spacing w:after="160" w:line="300"/>
        <w:jc w:val="left"/>
      </w:pPr>
      <w:r>
        <w:rPr>
          <w:b w:val="false"/>
          <w:bCs w:val="false"/>
          <w:i w:val="false"/>
          <w:iCs w:val="false"/>
          <w:color w:val="1A1A1A"/>
          <w:sz w:val="21"/>
          <w:szCs w:val="21"/>
        </w:rPr>
        <w:t xml:space="preserve">The recipient must be a public institution with a public mandate or public funds. Political parties, private companies and private individuals are rejected. This is validated against Wikidata at creation time and enforced in backend — if the institution is not recognised as a public entity, the event cannot be published.</w:t>
      </w:r>
    </w:p>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val="false"/>
                <w:bCs w:val="false"/>
                <w:i/>
                <w:iCs/>
                <w:color w:val="1A1A1A"/>
                <w:sz w:val="20"/>
                <w:szCs w:val="20"/>
              </w:rPr>
              <w:t xml:space="preserve">Frontend validation helps the user understand the rules. Backend validation enforces them. These four rules define the technical boundary between Voice Protest and a general petition platform.</w:t>
            </w:r>
          </w:p>
        </w:tc>
      </w:tr>
    </w:tbl>
    <w:p>
      <w:pPr>
        <w:spacing w:after="200"/>
      </w:pPr>
    </w:p>
    <w:p>
      <w:pPr>
        <w:pStyle w:val="Heading1"/>
        <w:pBdr>
          <w:bottom w:val="single" w:color="1B7F4D" w:sz="6" w:space="4"/>
        </w:pBdr>
        <w:spacing w:after="200" w:before="400"/>
      </w:pPr>
      <w:r>
        <w:rPr>
          <w:b/>
          <w:bCs/>
          <w:color w:val="1A1A1A"/>
          <w:sz w:val="30"/>
          <w:szCs w:val="30"/>
        </w:rPr>
        <w:t xml:space="preserve">17.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val="false"/>
          <w:iCs w:val="false"/>
          <w:color w:val="1A1A1A"/>
          <w:sz w:val="21"/>
          <w:szCs w:val="21"/>
        </w:rPr>
        <w:t xml:space="preserve">Donations made from a specific event's screen are automatically assigned to that event's verification balance. Donations made directly through Ko-fi without a reference to a specific event are credited to the platform sustainability fund. This distinction is relevant to donors who expect their contribution to reach a particular protest: the link must be followed from that protest's detail screen, not from the general Ko-fi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160"/>
              <w:left w:type="dxa" w:w="240"/>
              <w:bottom w:type="dxa" w:w="160"/>
              <w:right w:type="dxa" w:w="240"/>
            </w:tcMar>
          </w:tcPr>
          <w:p>
            <w:pPr>
              <w:spacing w:after="80"/>
            </w:pPr>
            <w:r>
              <w:rPr>
                <w:b/>
                <w:bCs/>
                <w:caps/>
                <w:color w:val="1B7F4D"/>
                <w:sz w:val="19"/>
                <w:szCs w:val="19"/>
              </w:rPr>
              <w:t xml:space="preserve">Donation routing rule</w:t>
            </w:r>
          </w:p>
          <w:p>
            <w:pPr>
              <w:spacing w:after="60"/>
            </w:pPr>
            <w:r>
              <w:rPr>
                <w:color w:val="1A1A1A"/>
                <w:sz w:val="20"/>
                <w:szCs w:val="20"/>
              </w:rPr>
              <w:t xml:space="preserve">Donation linked to a protest → credited to that protest’s verification balance</w:t>
            </w:r>
          </w:p>
          <w:p>
            <w:r>
              <w:rPr>
                <w:color w:val="1A1A1A"/>
                <w:sz w:val="20"/>
                <w:szCs w:val="20"/>
              </w:rPr>
              <w:t xml:space="preserve">Donation without protest reference → credited to platform sustainability fund</w:t>
            </w:r>
          </w:p>
        </w:tc>
      </w:tr>
    </w:tbl>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18.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19.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2026-06-21T05:22:56.005Z</dcterms:created>
  <dcterms:modified xsi:type="dcterms:W3CDTF">2026-06-21T05:22:56.017Z</dcterms:modified>
</cp:coreProperties>
</file>

<file path=docProps/custom.xml><?xml version="1.0" encoding="utf-8"?>
<Properties xmlns="http://schemas.openxmlformats.org/officeDocument/2006/custom-properties" xmlns:vt="http://schemas.openxmlformats.org/officeDocument/2006/docPropsVTypes"/>
</file>