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6896" w:rsidRDefault="008E2CF0">
      <w:pPr>
        <w:keepNext/>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jc w:val="center"/>
        <w:rPr>
          <w:rFonts w:ascii="Arial" w:eastAsia="Arial" w:hAnsi="Arial" w:cs="Arial"/>
          <w:b/>
          <w:smallCaps/>
          <w:color w:val="000000"/>
          <w:sz w:val="28"/>
          <w:szCs w:val="28"/>
        </w:rPr>
      </w:pPr>
      <w:r w:rsidRPr="008E2CF0">
        <w:rPr>
          <w:rFonts w:ascii="Arial" w:eastAsia="Arial" w:hAnsi="Arial" w:cs="Arial"/>
          <w:b/>
          <w:smallCaps/>
          <w:color w:val="000000"/>
          <w:sz w:val="28"/>
          <w:szCs w:val="28"/>
        </w:rPr>
        <w:t xml:space="preserve">Pronóstico estacional de caudales </w:t>
      </w:r>
      <w:r w:rsidR="002B6D34">
        <w:rPr>
          <w:rFonts w:ascii="Arial" w:eastAsia="Arial" w:hAnsi="Arial" w:cs="Arial"/>
          <w:b/>
          <w:smallCaps/>
          <w:color w:val="000000"/>
          <w:sz w:val="28"/>
          <w:szCs w:val="28"/>
        </w:rPr>
        <w:t>mediante</w:t>
      </w:r>
      <w:r w:rsidRPr="008E2CF0">
        <w:rPr>
          <w:rFonts w:ascii="Arial" w:eastAsia="Arial" w:hAnsi="Arial" w:cs="Arial"/>
          <w:b/>
          <w:smallCaps/>
          <w:color w:val="000000"/>
          <w:sz w:val="28"/>
          <w:szCs w:val="28"/>
        </w:rPr>
        <w:t xml:space="preserve"> persistencia y analogía</w:t>
      </w:r>
    </w:p>
    <w:p w:rsidR="00815517" w:rsidRDefault="00815517" w:rsidP="00815517">
      <w:pPr>
        <w:pBdr>
          <w:top w:val="nil"/>
          <w:left w:val="nil"/>
          <w:bottom w:val="nil"/>
          <w:right w:val="nil"/>
          <w:between w:val="nil"/>
        </w:pBdr>
        <w:spacing w:after="80"/>
        <w:jc w:val="center"/>
        <w:rPr>
          <w:color w:val="000000"/>
          <w:sz w:val="24"/>
          <w:szCs w:val="24"/>
        </w:rPr>
      </w:pPr>
      <w:r>
        <w:rPr>
          <w:color w:val="000000"/>
          <w:sz w:val="24"/>
          <w:szCs w:val="24"/>
        </w:rPr>
        <w:t>Santiago Guizzardi</w:t>
      </w:r>
      <w:r>
        <w:rPr>
          <w:color w:val="000000"/>
          <w:sz w:val="24"/>
          <w:szCs w:val="24"/>
          <w:vertAlign w:val="superscript"/>
        </w:rPr>
        <w:t>1</w:t>
      </w:r>
      <w:r>
        <w:rPr>
          <w:color w:val="000000"/>
          <w:sz w:val="24"/>
          <w:szCs w:val="24"/>
        </w:rPr>
        <w:t xml:space="preserve">, </w:t>
      </w:r>
      <w:r w:rsidRPr="004C5D43">
        <w:rPr>
          <w:color w:val="000000"/>
          <w:sz w:val="24"/>
          <w:szCs w:val="24"/>
        </w:rPr>
        <w:t>Leandro Giordano</w:t>
      </w:r>
      <w:r>
        <w:rPr>
          <w:color w:val="000000"/>
          <w:sz w:val="24"/>
          <w:szCs w:val="24"/>
          <w:vertAlign w:val="superscript"/>
        </w:rPr>
        <w:t>2</w:t>
      </w:r>
      <w:r>
        <w:rPr>
          <w:color w:val="000000"/>
          <w:sz w:val="24"/>
          <w:szCs w:val="24"/>
        </w:rPr>
        <w:t xml:space="preserve"> y </w:t>
      </w:r>
      <w:r w:rsidRPr="004C5D43">
        <w:rPr>
          <w:color w:val="000000"/>
          <w:sz w:val="24"/>
          <w:szCs w:val="24"/>
        </w:rPr>
        <w:t xml:space="preserve">Martin </w:t>
      </w:r>
      <w:proofErr w:type="spellStart"/>
      <w:r w:rsidRPr="004C5D43">
        <w:rPr>
          <w:color w:val="000000"/>
          <w:sz w:val="24"/>
          <w:szCs w:val="24"/>
        </w:rPr>
        <w:t>Sabarots</w:t>
      </w:r>
      <w:proofErr w:type="spellEnd"/>
      <w:r w:rsidRPr="004C5D43">
        <w:rPr>
          <w:color w:val="000000"/>
          <w:sz w:val="24"/>
          <w:szCs w:val="24"/>
        </w:rPr>
        <w:t xml:space="preserve"> Gerbec</w:t>
      </w:r>
      <w:r>
        <w:rPr>
          <w:color w:val="000000"/>
          <w:sz w:val="24"/>
          <w:szCs w:val="24"/>
          <w:vertAlign w:val="superscript"/>
        </w:rPr>
        <w:t>1</w:t>
      </w:r>
      <w:r w:rsidRPr="004C5D43">
        <w:rPr>
          <w:color w:val="000000"/>
          <w:sz w:val="24"/>
          <w:szCs w:val="24"/>
        </w:rPr>
        <w:t xml:space="preserve"> </w:t>
      </w:r>
    </w:p>
    <w:p w:rsidR="00815517" w:rsidRPr="00815517" w:rsidRDefault="00815517" w:rsidP="00815517">
      <w:pPr>
        <w:jc w:val="center"/>
        <w:rPr>
          <w:sz w:val="16"/>
          <w:szCs w:val="16"/>
        </w:rPr>
      </w:pPr>
      <w:r w:rsidRPr="00815517">
        <w:rPr>
          <w:sz w:val="16"/>
          <w:szCs w:val="16"/>
          <w:vertAlign w:val="superscript"/>
        </w:rPr>
        <w:t>1</w:t>
      </w:r>
      <w:r w:rsidRPr="00815517">
        <w:rPr>
          <w:sz w:val="16"/>
          <w:szCs w:val="16"/>
        </w:rPr>
        <w:t xml:space="preserve"> Subgerencia del Laboratorio del Instituto Nacional del Agua (INA)</w:t>
      </w:r>
    </w:p>
    <w:p w:rsidR="00815517" w:rsidRDefault="00815517" w:rsidP="00815517">
      <w:pPr>
        <w:jc w:val="center"/>
        <w:rPr>
          <w:sz w:val="16"/>
          <w:szCs w:val="16"/>
        </w:rPr>
      </w:pPr>
      <w:r w:rsidRPr="00815517">
        <w:rPr>
          <w:sz w:val="16"/>
          <w:szCs w:val="16"/>
          <w:vertAlign w:val="superscript"/>
        </w:rPr>
        <w:t>2</w:t>
      </w:r>
      <w:r w:rsidRPr="00815517">
        <w:rPr>
          <w:sz w:val="16"/>
          <w:szCs w:val="16"/>
        </w:rPr>
        <w:t xml:space="preserve"> Subgerencia del Sistema de Información y Alerta Hidrológico del Instituto Nacional del Agua (INA)</w:t>
      </w:r>
    </w:p>
    <w:p w:rsidR="00815517" w:rsidRDefault="00815517" w:rsidP="00815517">
      <w:pPr>
        <w:jc w:val="center"/>
        <w:rPr>
          <w:sz w:val="16"/>
          <w:szCs w:val="16"/>
        </w:rPr>
      </w:pPr>
      <w:r w:rsidRPr="00815517">
        <w:rPr>
          <w:sz w:val="16"/>
          <w:szCs w:val="16"/>
        </w:rPr>
        <w:t>santiagoguizzardi@gmail.com</w:t>
      </w:r>
      <w:r>
        <w:rPr>
          <w:sz w:val="16"/>
          <w:szCs w:val="16"/>
        </w:rPr>
        <w:t xml:space="preserve">, </w:t>
      </w:r>
      <w:hyperlink r:id="rId8" w:history="1">
        <w:r w:rsidRPr="004941D0">
          <w:rPr>
            <w:rStyle w:val="Hipervnculo"/>
            <w:sz w:val="16"/>
            <w:szCs w:val="16"/>
          </w:rPr>
          <w:t>leangior@gmail.com</w:t>
        </w:r>
      </w:hyperlink>
      <w:r>
        <w:rPr>
          <w:sz w:val="16"/>
          <w:szCs w:val="16"/>
        </w:rPr>
        <w:t xml:space="preserve">, </w:t>
      </w:r>
      <w:r w:rsidRPr="00815517">
        <w:rPr>
          <w:sz w:val="16"/>
          <w:szCs w:val="16"/>
        </w:rPr>
        <w:t>msabger@gmail.com</w:t>
      </w:r>
    </w:p>
    <w:p w:rsidR="00C26896" w:rsidRPr="002B6D34" w:rsidRDefault="00635F9F">
      <w:pPr>
        <w:jc w:val="center"/>
        <w:rPr>
          <w:sz w:val="16"/>
          <w:szCs w:val="16"/>
          <w:u w:val="single"/>
        </w:rPr>
      </w:pPr>
      <w:r>
        <w:rPr>
          <w:sz w:val="16"/>
          <w:szCs w:val="16"/>
        </w:rPr>
        <w:t xml:space="preserve">   </w:t>
      </w:r>
    </w:p>
    <w:p w:rsidR="00C26896" w:rsidRDefault="00154F86">
      <w:pPr>
        <w:keepNext/>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60"/>
        <w:jc w:val="both"/>
        <w:rPr>
          <w:rFonts w:ascii="Arial" w:eastAsia="Arial" w:hAnsi="Arial" w:cs="Arial"/>
          <w:b/>
          <w:color w:val="000000"/>
          <w:sz w:val="24"/>
          <w:szCs w:val="24"/>
        </w:rPr>
      </w:pPr>
      <w:r>
        <w:rPr>
          <w:rFonts w:ascii="Arial" w:eastAsia="Arial" w:hAnsi="Arial" w:cs="Arial"/>
          <w:b/>
          <w:color w:val="000000"/>
          <w:sz w:val="24"/>
          <w:szCs w:val="24"/>
        </w:rPr>
        <w:t>Resumen</w:t>
      </w:r>
    </w:p>
    <w:p w:rsidR="001E3E13" w:rsidRPr="001E3E13" w:rsidRDefault="001E3E13" w:rsidP="001E3E13">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80"/>
        <w:jc w:val="both"/>
        <w:rPr>
          <w:color w:val="000000"/>
          <w:sz w:val="24"/>
          <w:szCs w:val="24"/>
        </w:rPr>
      </w:pPr>
      <w:r w:rsidRPr="001E3E13">
        <w:rPr>
          <w:color w:val="000000"/>
          <w:sz w:val="24"/>
          <w:szCs w:val="24"/>
        </w:rPr>
        <w:t>Los ríos Paraguay-Paraná forman una importante vía fluvial. En Argentina, constituye la principal ruta de salida de la producción agrícola del país, cuya magnitud (del orden de los cien millones de toneladas anuales) la torna altamente relevante a escala mundial (Menéndez, 2021). Este sistema es también un corredor de humedales que une el Pantanal (cabecera de Paraguay) con el Delta del Paraná (desembocadura del Río de la Plata), y su dinámica está fuertemente relacionada con la biodiversidad (Giordano,  2021).</w:t>
      </w:r>
    </w:p>
    <w:p w:rsidR="001E3E13" w:rsidRPr="001E3E13" w:rsidRDefault="001E3E13" w:rsidP="001E3E13">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80"/>
        <w:jc w:val="both"/>
        <w:rPr>
          <w:color w:val="000000"/>
          <w:sz w:val="24"/>
          <w:szCs w:val="24"/>
        </w:rPr>
      </w:pPr>
      <w:r w:rsidRPr="001E3E13">
        <w:rPr>
          <w:color w:val="000000"/>
          <w:sz w:val="24"/>
          <w:szCs w:val="24"/>
        </w:rPr>
        <w:t>El pronóstico de series de niveles en las zonas ribereñas es un insumo esencial para las distintas actividades que se desarrollan. Comprender la condición hidrológica de la vía fluvial y proporcionar pronósticos y alertas de calidad resulta  fundamental</w:t>
      </w:r>
      <w:r w:rsidR="00CF32A2">
        <w:rPr>
          <w:color w:val="000000"/>
          <w:sz w:val="24"/>
          <w:szCs w:val="24"/>
        </w:rPr>
        <w:t xml:space="preserve"> (</w:t>
      </w:r>
      <w:proofErr w:type="spellStart"/>
      <w:r w:rsidR="00CF32A2">
        <w:rPr>
          <w:color w:val="000000"/>
          <w:sz w:val="24"/>
          <w:szCs w:val="24"/>
        </w:rPr>
        <w:t>Guizzardi</w:t>
      </w:r>
      <w:proofErr w:type="spellEnd"/>
      <w:r w:rsidR="00CF32A2">
        <w:rPr>
          <w:color w:val="000000"/>
          <w:sz w:val="24"/>
          <w:szCs w:val="24"/>
        </w:rPr>
        <w:t>, 2022)</w:t>
      </w:r>
      <w:r w:rsidRPr="001E3E13">
        <w:rPr>
          <w:color w:val="000000"/>
          <w:sz w:val="24"/>
          <w:szCs w:val="24"/>
        </w:rPr>
        <w:t>.</w:t>
      </w:r>
    </w:p>
    <w:p w:rsidR="001E3E13" w:rsidRPr="001E3E13" w:rsidRDefault="001E3E13" w:rsidP="001E3E13">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80"/>
        <w:jc w:val="both"/>
        <w:rPr>
          <w:color w:val="000000"/>
          <w:sz w:val="24"/>
          <w:szCs w:val="24"/>
        </w:rPr>
      </w:pPr>
      <w:r w:rsidRPr="001E3E13">
        <w:rPr>
          <w:color w:val="000000"/>
          <w:sz w:val="24"/>
          <w:szCs w:val="24"/>
        </w:rPr>
        <w:t>En este trabajo se evalúan dos metodologías para el pronóstico estacional de caudales en siete estaciones hidrométricas en la cuenca del Río de la Plata sobre el río Paraná y Paraguay. Los métodos evaluados están basados en la persistencia hidrológica y en series de caudales análogos. Cada mes se realizan los pronósticos para los próximos tres meses utilizando la serie de caudales históricos de al menos los últimos treinta años. Para cada estación se adopta el método que presenta un mejor ajuste con la serie observada.</w:t>
      </w:r>
    </w:p>
    <w:p w:rsidR="001E3E13" w:rsidRPr="001E3E13" w:rsidRDefault="001E3E13" w:rsidP="001E3E13">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80"/>
        <w:jc w:val="both"/>
        <w:rPr>
          <w:color w:val="000000"/>
          <w:sz w:val="24"/>
          <w:szCs w:val="24"/>
        </w:rPr>
      </w:pPr>
      <w:r w:rsidRPr="001E3E13">
        <w:rPr>
          <w:color w:val="000000"/>
          <w:sz w:val="24"/>
          <w:szCs w:val="24"/>
        </w:rPr>
        <w:t xml:space="preserve">Las salidas se publican mensualmente y se almacenan en una base de datos para </w:t>
      </w:r>
      <w:bookmarkStart w:id="0" w:name="_GoBack"/>
      <w:bookmarkEnd w:id="0"/>
      <w:r w:rsidRPr="001E3E13">
        <w:rPr>
          <w:color w:val="000000"/>
          <w:sz w:val="24"/>
          <w:szCs w:val="24"/>
        </w:rPr>
        <w:t>luego ser utilizadas como condición de borde de modelos hidráulicos, permitiendo expandir los pronósticos a otros puntos de interés donde no se disponga de series históricas extensas (&gt;30 años).</w:t>
      </w:r>
    </w:p>
    <w:p w:rsidR="00590E60" w:rsidRPr="00F43516" w:rsidRDefault="001E3E13" w:rsidP="001E3E13">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80"/>
        <w:jc w:val="both"/>
        <w:rPr>
          <w:color w:val="000000"/>
          <w:sz w:val="24"/>
          <w:szCs w:val="24"/>
          <w:lang w:val="es-AR"/>
        </w:rPr>
      </w:pPr>
      <w:r w:rsidRPr="001E3E13">
        <w:rPr>
          <w:color w:val="000000"/>
          <w:sz w:val="24"/>
          <w:szCs w:val="24"/>
        </w:rPr>
        <w:t>Los métodos tienen la ventaj</w:t>
      </w:r>
      <w:r w:rsidR="009E583F">
        <w:rPr>
          <w:color w:val="000000"/>
          <w:sz w:val="24"/>
          <w:szCs w:val="24"/>
        </w:rPr>
        <w:t>a de ser fáciles de implementar</w:t>
      </w:r>
      <w:r w:rsidRPr="001E3E13">
        <w:rPr>
          <w:color w:val="000000"/>
          <w:sz w:val="24"/>
          <w:szCs w:val="24"/>
        </w:rPr>
        <w:t xml:space="preserve"> ya que solo utilizan como entrada series históricas de caudales de ríos. Si bien son simples, los resultados son satisfactorios y sirven de referencia para el desarrollo de otros métodos de pronóstico más complejos que incorporen como dato de entrada el pronóstico de variables meteorológicas (</w:t>
      </w:r>
      <w:proofErr w:type="spellStart"/>
      <w:r w:rsidRPr="001E3E13">
        <w:rPr>
          <w:color w:val="000000"/>
          <w:sz w:val="24"/>
          <w:szCs w:val="24"/>
        </w:rPr>
        <w:t>Svensson</w:t>
      </w:r>
      <w:proofErr w:type="spellEnd"/>
      <w:r w:rsidRPr="001E3E13">
        <w:rPr>
          <w:color w:val="000000"/>
          <w:sz w:val="24"/>
          <w:szCs w:val="24"/>
        </w:rPr>
        <w:t>, 2016).</w:t>
      </w:r>
    </w:p>
    <w:p w:rsidR="00AA0A88" w:rsidRDefault="00E04CEB" w:rsidP="00E04CEB">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80"/>
        <w:jc w:val="both"/>
        <w:rPr>
          <w:color w:val="000000"/>
          <w:sz w:val="24"/>
          <w:szCs w:val="24"/>
        </w:rPr>
      </w:pPr>
      <w:r w:rsidRPr="00D950CE">
        <w:rPr>
          <w:color w:val="000000"/>
          <w:sz w:val="24"/>
          <w:szCs w:val="24"/>
          <w:u w:val="single"/>
        </w:rPr>
        <w:t>Palabras clave</w:t>
      </w:r>
      <w:r>
        <w:rPr>
          <w:color w:val="000000"/>
          <w:sz w:val="24"/>
          <w:szCs w:val="24"/>
        </w:rPr>
        <w:t xml:space="preserve">: </w:t>
      </w:r>
      <w:r w:rsidR="00AA0A88">
        <w:rPr>
          <w:color w:val="000000"/>
          <w:sz w:val="24"/>
          <w:szCs w:val="24"/>
        </w:rPr>
        <w:t>pronóstico estacional, persistencia, analogía.</w:t>
      </w:r>
    </w:p>
    <w:p w:rsidR="00AA0A88" w:rsidRDefault="00AA0A88" w:rsidP="00E04CEB">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80"/>
        <w:jc w:val="both"/>
        <w:rPr>
          <w:color w:val="000000"/>
          <w:sz w:val="24"/>
          <w:szCs w:val="24"/>
        </w:rPr>
      </w:pPr>
    </w:p>
    <w:p w:rsidR="00E04CEB" w:rsidRPr="000D3851" w:rsidRDefault="00AA0A88" w:rsidP="004C5D43">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80"/>
        <w:jc w:val="both"/>
        <w:rPr>
          <w:color w:val="000000"/>
          <w:sz w:val="24"/>
          <w:szCs w:val="24"/>
          <w:lang w:val="en-US"/>
        </w:rPr>
      </w:pPr>
      <w:proofErr w:type="spellStart"/>
      <w:r w:rsidRPr="000D3851">
        <w:rPr>
          <w:rFonts w:ascii="Arial" w:eastAsia="Arial" w:hAnsi="Arial" w:cs="Arial"/>
          <w:b/>
          <w:color w:val="000000"/>
          <w:sz w:val="24"/>
          <w:szCs w:val="24"/>
          <w:lang w:val="en-US"/>
        </w:rPr>
        <w:t>Referencias</w:t>
      </w:r>
      <w:proofErr w:type="spellEnd"/>
      <w:r w:rsidRPr="000D3851">
        <w:rPr>
          <w:rFonts w:ascii="Arial" w:eastAsia="Arial" w:hAnsi="Arial" w:cs="Arial"/>
          <w:b/>
          <w:color w:val="000000"/>
          <w:sz w:val="24"/>
          <w:szCs w:val="24"/>
          <w:lang w:val="en-US"/>
        </w:rPr>
        <w:t xml:space="preserve"> </w:t>
      </w:r>
      <w:proofErr w:type="spellStart"/>
      <w:r w:rsidRPr="000D3851">
        <w:rPr>
          <w:rFonts w:ascii="Arial" w:eastAsia="Arial" w:hAnsi="Arial" w:cs="Arial"/>
          <w:b/>
          <w:color w:val="000000"/>
          <w:sz w:val="24"/>
          <w:szCs w:val="24"/>
          <w:lang w:val="en-US"/>
        </w:rPr>
        <w:t>Bibliográficas</w:t>
      </w:r>
      <w:proofErr w:type="spellEnd"/>
    </w:p>
    <w:p w:rsidR="00340CB2" w:rsidRDefault="00340CB2" w:rsidP="004C5D43">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80"/>
        <w:jc w:val="both"/>
        <w:rPr>
          <w:color w:val="000000"/>
          <w:sz w:val="24"/>
          <w:szCs w:val="24"/>
          <w:lang w:val="en-US"/>
        </w:rPr>
      </w:pPr>
      <w:r w:rsidRPr="0040747D">
        <w:rPr>
          <w:b/>
          <w:color w:val="000000"/>
          <w:sz w:val="24"/>
          <w:szCs w:val="24"/>
          <w:lang w:val="en-US"/>
        </w:rPr>
        <w:t xml:space="preserve">A.N. Menéndez, P.E. </w:t>
      </w:r>
      <w:proofErr w:type="spellStart"/>
      <w:r w:rsidRPr="0040747D">
        <w:rPr>
          <w:b/>
          <w:color w:val="000000"/>
          <w:sz w:val="24"/>
          <w:szCs w:val="24"/>
          <w:lang w:val="en-US"/>
        </w:rPr>
        <w:t>García</w:t>
      </w:r>
      <w:proofErr w:type="spellEnd"/>
      <w:r w:rsidRPr="0040747D">
        <w:rPr>
          <w:b/>
          <w:color w:val="000000"/>
          <w:sz w:val="24"/>
          <w:szCs w:val="24"/>
          <w:lang w:val="en-US"/>
        </w:rPr>
        <w:t xml:space="preserve">, N.D. </w:t>
      </w:r>
      <w:proofErr w:type="spellStart"/>
      <w:r w:rsidRPr="0040747D">
        <w:rPr>
          <w:b/>
          <w:color w:val="000000"/>
          <w:sz w:val="24"/>
          <w:szCs w:val="24"/>
          <w:lang w:val="en-US"/>
        </w:rPr>
        <w:t>Badano</w:t>
      </w:r>
      <w:proofErr w:type="spellEnd"/>
      <w:r w:rsidRPr="0040747D">
        <w:rPr>
          <w:b/>
          <w:color w:val="000000"/>
          <w:sz w:val="24"/>
          <w:szCs w:val="24"/>
          <w:lang w:val="en-US"/>
        </w:rPr>
        <w:t xml:space="preserve">, L.D. </w:t>
      </w:r>
      <w:proofErr w:type="spellStart"/>
      <w:r w:rsidRPr="0040747D">
        <w:rPr>
          <w:b/>
          <w:color w:val="000000"/>
          <w:sz w:val="24"/>
          <w:szCs w:val="24"/>
          <w:lang w:val="en-US"/>
        </w:rPr>
        <w:t>Kazimierski</w:t>
      </w:r>
      <w:proofErr w:type="spellEnd"/>
      <w:r w:rsidRPr="0040747D">
        <w:rPr>
          <w:b/>
          <w:color w:val="000000"/>
          <w:sz w:val="24"/>
          <w:szCs w:val="24"/>
          <w:lang w:val="en-US"/>
        </w:rPr>
        <w:t xml:space="preserve"> &amp; S. </w:t>
      </w:r>
      <w:proofErr w:type="spellStart"/>
      <w:r w:rsidRPr="0040747D">
        <w:rPr>
          <w:b/>
          <w:color w:val="000000"/>
          <w:sz w:val="24"/>
          <w:szCs w:val="24"/>
          <w:lang w:val="en-US"/>
        </w:rPr>
        <w:t>Guizzardi</w:t>
      </w:r>
      <w:proofErr w:type="spellEnd"/>
      <w:r w:rsidRPr="00340CB2">
        <w:rPr>
          <w:color w:val="000000"/>
          <w:sz w:val="24"/>
          <w:szCs w:val="24"/>
          <w:lang w:val="en-US"/>
        </w:rPr>
        <w:t xml:space="preserve"> (2021) </w:t>
      </w:r>
      <w:r w:rsidR="00CF32A2">
        <w:rPr>
          <w:color w:val="000000"/>
          <w:sz w:val="24"/>
          <w:szCs w:val="24"/>
          <w:lang w:val="en-US"/>
        </w:rPr>
        <w:t>“</w:t>
      </w:r>
      <w:r w:rsidRPr="00340CB2">
        <w:rPr>
          <w:color w:val="000000"/>
          <w:sz w:val="24"/>
          <w:szCs w:val="24"/>
          <w:lang w:val="en-US"/>
        </w:rPr>
        <w:t xml:space="preserve">Prediction of sedimentation in an extended and heterogeneous navigation waterway, </w:t>
      </w:r>
      <w:proofErr w:type="spellStart"/>
      <w:r w:rsidRPr="00340CB2">
        <w:rPr>
          <w:color w:val="000000"/>
          <w:sz w:val="24"/>
          <w:szCs w:val="24"/>
          <w:lang w:val="en-US"/>
        </w:rPr>
        <w:t>Ribagua</w:t>
      </w:r>
      <w:proofErr w:type="spellEnd"/>
      <w:r w:rsidRPr="00340CB2">
        <w:rPr>
          <w:color w:val="000000"/>
          <w:sz w:val="24"/>
          <w:szCs w:val="24"/>
          <w:lang w:val="en-US"/>
        </w:rPr>
        <w:t>, 8:1, 13-33, DOI: 10.1080/23863781.2022.2116367</w:t>
      </w:r>
      <w:r w:rsidR="000D3851">
        <w:rPr>
          <w:color w:val="000000"/>
          <w:sz w:val="24"/>
          <w:szCs w:val="24"/>
          <w:lang w:val="en-US"/>
        </w:rPr>
        <w:t>.</w:t>
      </w:r>
    </w:p>
    <w:p w:rsidR="002B6D34" w:rsidRDefault="002B6D34" w:rsidP="00CF32A2">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80"/>
        <w:jc w:val="both"/>
        <w:rPr>
          <w:color w:val="000000"/>
          <w:sz w:val="24"/>
          <w:szCs w:val="24"/>
          <w:lang w:val="en-US"/>
        </w:rPr>
      </w:pPr>
      <w:r w:rsidRPr="002B6D34">
        <w:rPr>
          <w:b/>
          <w:color w:val="000000"/>
          <w:sz w:val="24"/>
          <w:szCs w:val="24"/>
          <w:lang w:val="en-US"/>
        </w:rPr>
        <w:t>L. Giordano</w:t>
      </w:r>
      <w:r>
        <w:rPr>
          <w:color w:val="000000"/>
          <w:sz w:val="24"/>
          <w:szCs w:val="24"/>
          <w:lang w:val="en-US"/>
        </w:rPr>
        <w:t xml:space="preserve"> (2021) </w:t>
      </w:r>
      <w:r w:rsidR="00CF32A2">
        <w:rPr>
          <w:color w:val="000000"/>
          <w:sz w:val="24"/>
          <w:szCs w:val="24"/>
          <w:lang w:val="en-US"/>
        </w:rPr>
        <w:t>“</w:t>
      </w:r>
      <w:r w:rsidRPr="002B6D34">
        <w:rPr>
          <w:color w:val="000000"/>
          <w:sz w:val="24"/>
          <w:szCs w:val="24"/>
          <w:lang w:val="en-US"/>
        </w:rPr>
        <w:t>Preliminary evaluation of multi-model discharge forecasts for the La Plata Basin</w:t>
      </w:r>
      <w:r w:rsidR="00CF32A2">
        <w:rPr>
          <w:color w:val="000000"/>
          <w:sz w:val="24"/>
          <w:szCs w:val="24"/>
          <w:lang w:val="en-US"/>
        </w:rPr>
        <w:t>”</w:t>
      </w:r>
      <w:r>
        <w:rPr>
          <w:color w:val="000000"/>
          <w:sz w:val="24"/>
          <w:szCs w:val="24"/>
          <w:lang w:val="en-US"/>
        </w:rPr>
        <w:t>.</w:t>
      </w:r>
      <w:r w:rsidR="00CF32A2">
        <w:rPr>
          <w:color w:val="000000"/>
          <w:sz w:val="24"/>
          <w:szCs w:val="24"/>
          <w:lang w:val="en-US"/>
        </w:rPr>
        <w:t xml:space="preserve"> </w:t>
      </w:r>
      <w:r w:rsidR="00CF32A2" w:rsidRPr="00CF32A2">
        <w:rPr>
          <w:color w:val="000000"/>
          <w:sz w:val="24"/>
          <w:szCs w:val="24"/>
          <w:lang w:val="en-US"/>
        </w:rPr>
        <w:t>ULYSSES</w:t>
      </w:r>
      <w:r w:rsidR="00CF32A2">
        <w:rPr>
          <w:color w:val="000000"/>
          <w:sz w:val="24"/>
          <w:szCs w:val="24"/>
          <w:lang w:val="en-US"/>
        </w:rPr>
        <w:t xml:space="preserve"> Use Case Study.</w:t>
      </w:r>
    </w:p>
    <w:p w:rsidR="00CF32A2" w:rsidRPr="00CF32A2" w:rsidRDefault="00CF32A2" w:rsidP="00CF32A2">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80"/>
        <w:jc w:val="both"/>
        <w:rPr>
          <w:b/>
          <w:color w:val="000000"/>
          <w:sz w:val="24"/>
          <w:szCs w:val="24"/>
          <w:lang w:val="en-US"/>
        </w:rPr>
      </w:pPr>
      <w:r w:rsidRPr="00CF32A2">
        <w:rPr>
          <w:b/>
          <w:color w:val="000000"/>
          <w:sz w:val="24"/>
          <w:szCs w:val="24"/>
          <w:lang w:val="en-US"/>
        </w:rPr>
        <w:t xml:space="preserve">S. </w:t>
      </w:r>
      <w:proofErr w:type="spellStart"/>
      <w:r w:rsidRPr="00CF32A2">
        <w:rPr>
          <w:b/>
          <w:color w:val="000000"/>
          <w:sz w:val="24"/>
          <w:szCs w:val="24"/>
          <w:lang w:val="en-US"/>
        </w:rPr>
        <w:t>Guizzardi</w:t>
      </w:r>
      <w:proofErr w:type="spellEnd"/>
      <w:r w:rsidRPr="00CF32A2">
        <w:rPr>
          <w:b/>
          <w:color w:val="000000"/>
          <w:sz w:val="24"/>
          <w:szCs w:val="24"/>
          <w:lang w:val="en-US"/>
        </w:rPr>
        <w:t xml:space="preserve"> </w:t>
      </w:r>
      <w:r w:rsidRPr="00CF32A2">
        <w:rPr>
          <w:b/>
          <w:color w:val="000000"/>
          <w:sz w:val="24"/>
          <w:szCs w:val="24"/>
          <w:lang w:val="en-US"/>
        </w:rPr>
        <w:t xml:space="preserve">J. Bianchi, J.E.  </w:t>
      </w:r>
      <w:proofErr w:type="spellStart"/>
      <w:r w:rsidRPr="00CF32A2">
        <w:rPr>
          <w:b/>
          <w:color w:val="000000"/>
          <w:sz w:val="24"/>
          <w:szCs w:val="24"/>
          <w:lang w:val="es-AR"/>
        </w:rPr>
        <w:t>Cortese</w:t>
      </w:r>
      <w:proofErr w:type="spellEnd"/>
      <w:r w:rsidRPr="00CF32A2">
        <w:rPr>
          <w:b/>
          <w:color w:val="000000"/>
          <w:sz w:val="24"/>
          <w:szCs w:val="24"/>
          <w:lang w:val="es-AR"/>
        </w:rPr>
        <w:t xml:space="preserve">, M. </w:t>
      </w:r>
      <w:proofErr w:type="spellStart"/>
      <w:r w:rsidRPr="00CF32A2">
        <w:rPr>
          <w:b/>
          <w:color w:val="000000"/>
          <w:sz w:val="24"/>
          <w:szCs w:val="24"/>
          <w:lang w:val="es-AR"/>
        </w:rPr>
        <w:t>Uriburu</w:t>
      </w:r>
      <w:proofErr w:type="spellEnd"/>
      <w:r w:rsidRPr="00CF32A2">
        <w:rPr>
          <w:b/>
          <w:color w:val="000000"/>
          <w:sz w:val="24"/>
          <w:szCs w:val="24"/>
          <w:lang w:val="es-AR"/>
        </w:rPr>
        <w:t xml:space="preserve"> </w:t>
      </w:r>
      <w:proofErr w:type="spellStart"/>
      <w:r w:rsidRPr="00CF32A2">
        <w:rPr>
          <w:b/>
          <w:color w:val="000000"/>
          <w:sz w:val="24"/>
          <w:szCs w:val="24"/>
          <w:lang w:val="es-AR"/>
        </w:rPr>
        <w:t>Quirno</w:t>
      </w:r>
      <w:proofErr w:type="spellEnd"/>
      <w:r w:rsidRPr="00CF32A2">
        <w:rPr>
          <w:b/>
          <w:color w:val="000000"/>
          <w:sz w:val="24"/>
          <w:szCs w:val="24"/>
          <w:lang w:val="es-AR"/>
        </w:rPr>
        <w:t xml:space="preserve"> &amp; M. </w:t>
      </w:r>
      <w:proofErr w:type="spellStart"/>
      <w:r w:rsidRPr="00CF32A2">
        <w:rPr>
          <w:b/>
          <w:color w:val="000000"/>
          <w:sz w:val="24"/>
          <w:szCs w:val="24"/>
          <w:lang w:val="es-AR"/>
        </w:rPr>
        <w:t>Sabarots</w:t>
      </w:r>
      <w:proofErr w:type="spellEnd"/>
      <w:r w:rsidRPr="00CF32A2">
        <w:rPr>
          <w:b/>
          <w:color w:val="000000"/>
          <w:sz w:val="24"/>
          <w:szCs w:val="24"/>
          <w:lang w:val="es-AR"/>
        </w:rPr>
        <w:t xml:space="preserve"> </w:t>
      </w:r>
      <w:proofErr w:type="spellStart"/>
      <w:r w:rsidRPr="00CF32A2">
        <w:rPr>
          <w:b/>
          <w:color w:val="000000"/>
          <w:sz w:val="24"/>
          <w:szCs w:val="24"/>
          <w:lang w:val="es-AR"/>
        </w:rPr>
        <w:t>Gerbec</w:t>
      </w:r>
      <w:proofErr w:type="spellEnd"/>
      <w:r>
        <w:rPr>
          <w:b/>
          <w:color w:val="000000"/>
          <w:sz w:val="24"/>
          <w:szCs w:val="24"/>
          <w:lang w:val="es-AR"/>
        </w:rPr>
        <w:t xml:space="preserve"> </w:t>
      </w:r>
      <w:r w:rsidRPr="00CF32A2">
        <w:rPr>
          <w:color w:val="000000"/>
          <w:sz w:val="24"/>
          <w:szCs w:val="24"/>
          <w:lang w:val="es-AR"/>
        </w:rPr>
        <w:t xml:space="preserve">(2022). </w:t>
      </w:r>
      <w:r w:rsidRPr="00CF32A2">
        <w:rPr>
          <w:color w:val="000000"/>
          <w:sz w:val="24"/>
          <w:szCs w:val="24"/>
          <w:lang w:val="en-US"/>
        </w:rPr>
        <w:t>“Forecast System Implementation in the Paraná Delta</w:t>
      </w:r>
      <w:r>
        <w:rPr>
          <w:color w:val="000000"/>
          <w:sz w:val="24"/>
          <w:szCs w:val="24"/>
          <w:lang w:val="en-US"/>
        </w:rPr>
        <w:t>”</w:t>
      </w:r>
      <w:r w:rsidRPr="00CF32A2">
        <w:rPr>
          <w:color w:val="000000"/>
          <w:sz w:val="24"/>
          <w:szCs w:val="24"/>
          <w:lang w:val="en-US"/>
        </w:rPr>
        <w:t xml:space="preserve">. IARH 2022, Granada, </w:t>
      </w:r>
      <w:proofErr w:type="spellStart"/>
      <w:r w:rsidRPr="00CF32A2">
        <w:rPr>
          <w:color w:val="000000"/>
          <w:sz w:val="24"/>
          <w:szCs w:val="24"/>
          <w:lang w:val="en-US"/>
        </w:rPr>
        <w:t>España</w:t>
      </w:r>
      <w:proofErr w:type="spellEnd"/>
    </w:p>
    <w:p w:rsidR="000D3851" w:rsidRDefault="00CF32A2" w:rsidP="000D3851">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80"/>
        <w:jc w:val="both"/>
        <w:rPr>
          <w:color w:val="000000"/>
          <w:sz w:val="24"/>
          <w:szCs w:val="24"/>
          <w:lang w:val="en-US"/>
        </w:rPr>
      </w:pPr>
      <w:r w:rsidRPr="00AA0A88">
        <w:rPr>
          <w:b/>
          <w:color w:val="000000"/>
          <w:sz w:val="24"/>
          <w:szCs w:val="24"/>
          <w:lang w:val="en-US"/>
        </w:rPr>
        <w:t>C.</w:t>
      </w:r>
      <w:r>
        <w:rPr>
          <w:b/>
          <w:color w:val="000000"/>
          <w:sz w:val="24"/>
          <w:szCs w:val="24"/>
          <w:lang w:val="en-US"/>
        </w:rPr>
        <w:t xml:space="preserve"> </w:t>
      </w:r>
      <w:proofErr w:type="spellStart"/>
      <w:r w:rsidR="000D3851" w:rsidRPr="00AA0A88">
        <w:rPr>
          <w:b/>
          <w:color w:val="000000"/>
          <w:sz w:val="24"/>
          <w:szCs w:val="24"/>
          <w:lang w:val="en-US"/>
        </w:rPr>
        <w:t>Svensson</w:t>
      </w:r>
      <w:proofErr w:type="spellEnd"/>
      <w:r w:rsidR="000D3851" w:rsidRPr="00AA0A88">
        <w:rPr>
          <w:b/>
          <w:color w:val="000000"/>
          <w:sz w:val="24"/>
          <w:szCs w:val="24"/>
          <w:lang w:val="en-US"/>
        </w:rPr>
        <w:t xml:space="preserve"> </w:t>
      </w:r>
      <w:r w:rsidR="000D3851" w:rsidRPr="00AA0A88">
        <w:rPr>
          <w:color w:val="000000"/>
          <w:sz w:val="24"/>
          <w:szCs w:val="24"/>
          <w:lang w:val="en-US"/>
        </w:rPr>
        <w:t xml:space="preserve">(2016). </w:t>
      </w:r>
      <w:r>
        <w:rPr>
          <w:color w:val="000000"/>
          <w:sz w:val="24"/>
          <w:szCs w:val="24"/>
          <w:lang w:val="en-US"/>
        </w:rPr>
        <w:t>“</w:t>
      </w:r>
      <w:r w:rsidR="000D3851" w:rsidRPr="00AA0A88">
        <w:rPr>
          <w:color w:val="000000"/>
          <w:sz w:val="24"/>
          <w:szCs w:val="24"/>
          <w:lang w:val="en-US"/>
        </w:rPr>
        <w:t>Seasonal river flow forecasts for the United Kingdom using persistence and historical analogues</w:t>
      </w:r>
      <w:r>
        <w:rPr>
          <w:color w:val="000000"/>
          <w:sz w:val="24"/>
          <w:szCs w:val="24"/>
          <w:lang w:val="en-US"/>
        </w:rPr>
        <w:t>”</w:t>
      </w:r>
      <w:r w:rsidR="000D3851" w:rsidRPr="00AA0A88">
        <w:rPr>
          <w:color w:val="000000"/>
          <w:sz w:val="24"/>
          <w:szCs w:val="24"/>
          <w:lang w:val="en-US"/>
        </w:rPr>
        <w:t>. Hydrological Sciences Journal, 61(1), 19-35.</w:t>
      </w:r>
    </w:p>
    <w:p w:rsidR="000D3851" w:rsidRDefault="000D3851" w:rsidP="002B6D34">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80"/>
        <w:jc w:val="both"/>
        <w:rPr>
          <w:color w:val="000000"/>
          <w:sz w:val="24"/>
          <w:szCs w:val="24"/>
          <w:lang w:val="en-US"/>
        </w:rPr>
      </w:pPr>
    </w:p>
    <w:p w:rsidR="000D3851" w:rsidRPr="00CF32A2" w:rsidRDefault="000D3851" w:rsidP="002B6D34">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80"/>
        <w:jc w:val="both"/>
        <w:rPr>
          <w:color w:val="000000"/>
          <w:sz w:val="24"/>
          <w:szCs w:val="24"/>
          <w:lang w:val="es-AR"/>
        </w:rPr>
      </w:pPr>
    </w:p>
    <w:p w:rsidR="00AD4433" w:rsidRPr="00CF32A2" w:rsidRDefault="00AD4433" w:rsidP="002B6D34">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80"/>
        <w:jc w:val="both"/>
        <w:rPr>
          <w:lang w:val="es-AR"/>
        </w:rPr>
      </w:pPr>
    </w:p>
    <w:p w:rsidR="00C621E5" w:rsidRPr="00CF32A2" w:rsidRDefault="00C621E5" w:rsidP="002B6D34">
      <w:pPr>
        <w:widowControl/>
        <w:pBdr>
          <w:top w:val="nil"/>
          <w:left w:val="nil"/>
          <w:bottom w:val="nil"/>
          <w:right w:val="nil"/>
          <w:between w:val="nil"/>
        </w:pBdr>
        <w:tabs>
          <w:tab w:val="left" w:pos="567"/>
          <w:tab w:val="left" w:pos="1091"/>
          <w:tab w:val="left" w:pos="2160"/>
          <w:tab w:val="left" w:pos="2880"/>
          <w:tab w:val="left" w:pos="3600"/>
          <w:tab w:val="left" w:pos="4320"/>
          <w:tab w:val="left" w:pos="5040"/>
          <w:tab w:val="left" w:pos="5760"/>
          <w:tab w:val="left" w:pos="6480"/>
          <w:tab w:val="left" w:pos="7200"/>
          <w:tab w:val="left" w:pos="7920"/>
          <w:tab w:val="left" w:pos="8640"/>
        </w:tabs>
        <w:spacing w:after="80"/>
        <w:ind w:firstLine="6"/>
        <w:jc w:val="both"/>
        <w:rPr>
          <w:rFonts w:ascii="Arial" w:eastAsia="Arial" w:hAnsi="Arial" w:cs="Arial"/>
          <w:color w:val="000000"/>
          <w:sz w:val="24"/>
          <w:szCs w:val="24"/>
          <w:lang w:val="es-AR"/>
        </w:rPr>
      </w:pPr>
    </w:p>
    <w:sectPr w:rsidR="00C621E5" w:rsidRPr="00CF32A2">
      <w:headerReference w:type="default" r:id="rId9"/>
      <w:footerReference w:type="even" r:id="rId10"/>
      <w:footerReference w:type="default" r:id="rId11"/>
      <w:pgSz w:w="11907" w:h="16839"/>
      <w:pgMar w:top="1134" w:right="1134" w:bottom="1134" w:left="1134" w:header="357" w:footer="357"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5EE3" w:rsidRDefault="00865EE3">
      <w:r>
        <w:separator/>
      </w:r>
    </w:p>
  </w:endnote>
  <w:endnote w:type="continuationSeparator" w:id="0">
    <w:p w:rsidR="00865EE3" w:rsidRDefault="00865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6896" w:rsidRDefault="00635F9F">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end"/>
    </w:r>
  </w:p>
  <w:p w:rsidR="00C26896" w:rsidRDefault="00C26896">
    <w:pPr>
      <w:pBdr>
        <w:top w:val="nil"/>
        <w:left w:val="nil"/>
        <w:bottom w:val="nil"/>
        <w:right w:val="nil"/>
        <w:between w:val="nil"/>
      </w:pBdr>
      <w:tabs>
        <w:tab w:val="center" w:pos="4320"/>
        <w:tab w:val="right" w:pos="8640"/>
      </w:tabs>
      <w:ind w:right="360" w:firstLine="360"/>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6896" w:rsidRDefault="00C26896">
    <w:pPr>
      <w:pBdr>
        <w:top w:val="nil"/>
        <w:left w:val="nil"/>
        <w:bottom w:val="nil"/>
        <w:right w:val="nil"/>
        <w:between w:val="nil"/>
      </w:pBdr>
      <w:tabs>
        <w:tab w:val="center" w:pos="4320"/>
        <w:tab w:val="right" w:pos="8640"/>
      </w:tabs>
      <w:jc w:val="center"/>
      <w:rPr>
        <w:color w:val="000000"/>
      </w:rPr>
    </w:pPr>
  </w:p>
  <w:p w:rsidR="00C26896" w:rsidRDefault="00C26896">
    <w:pPr>
      <w:pBdr>
        <w:top w:val="nil"/>
        <w:left w:val="nil"/>
        <w:bottom w:val="nil"/>
        <w:right w:val="nil"/>
        <w:between w:val="nil"/>
      </w:pBdr>
      <w:tabs>
        <w:tab w:val="center" w:pos="4320"/>
        <w:tab w:val="right" w:pos="8640"/>
      </w:tabs>
      <w:ind w:right="360" w:firstLine="360"/>
      <w:jc w:val="center"/>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5EE3" w:rsidRDefault="00865EE3">
      <w:r>
        <w:separator/>
      </w:r>
    </w:p>
  </w:footnote>
  <w:footnote w:type="continuationSeparator" w:id="0">
    <w:p w:rsidR="00865EE3" w:rsidRDefault="00865E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6896" w:rsidRDefault="00C26896">
    <w:pPr>
      <w:pBdr>
        <w:top w:val="nil"/>
        <w:left w:val="nil"/>
        <w:bottom w:val="nil"/>
        <w:right w:val="nil"/>
        <w:between w:val="nil"/>
      </w:pBdr>
      <w:spacing w:line="276" w:lineRule="auto"/>
      <w:rPr>
        <w:color w:val="000000"/>
        <w:sz w:val="18"/>
        <w:szCs w:val="18"/>
      </w:rPr>
    </w:pPr>
  </w:p>
  <w:tbl>
    <w:tblPr>
      <w:tblStyle w:val="a"/>
      <w:tblW w:w="9072" w:type="dxa"/>
      <w:tblInd w:w="108" w:type="dxa"/>
      <w:tblLayout w:type="fixed"/>
      <w:tblLook w:val="0000" w:firstRow="0" w:lastRow="0" w:firstColumn="0" w:lastColumn="0" w:noHBand="0" w:noVBand="0"/>
    </w:tblPr>
    <w:tblGrid>
      <w:gridCol w:w="2127"/>
      <w:gridCol w:w="5103"/>
      <w:gridCol w:w="1842"/>
    </w:tblGrid>
    <w:tr w:rsidR="00C26896">
      <w:tc>
        <w:tcPr>
          <w:tcW w:w="2127" w:type="dxa"/>
          <w:vAlign w:val="center"/>
        </w:tcPr>
        <w:p w:rsidR="00C26896" w:rsidRDefault="00635F9F">
          <w:pPr>
            <w:pBdr>
              <w:top w:val="nil"/>
              <w:left w:val="nil"/>
              <w:bottom w:val="nil"/>
              <w:right w:val="nil"/>
              <w:between w:val="nil"/>
            </w:pBdr>
            <w:tabs>
              <w:tab w:val="center" w:pos="4320"/>
              <w:tab w:val="right" w:pos="8640"/>
            </w:tabs>
            <w:rPr>
              <w:rFonts w:ascii="Arial" w:eastAsia="Arial" w:hAnsi="Arial" w:cs="Arial"/>
              <w:i/>
              <w:smallCaps/>
              <w:color w:val="000000"/>
              <w:sz w:val="14"/>
              <w:szCs w:val="14"/>
            </w:rPr>
          </w:pPr>
          <w:r>
            <w:rPr>
              <w:rFonts w:ascii="Arial" w:eastAsia="Arial" w:hAnsi="Arial" w:cs="Arial"/>
              <w:i/>
              <w:smallCaps/>
              <w:color w:val="000000"/>
              <w:sz w:val="14"/>
              <w:szCs w:val="14"/>
            </w:rPr>
            <w:t>CONAGUA2023</w:t>
          </w:r>
        </w:p>
      </w:tc>
      <w:tc>
        <w:tcPr>
          <w:tcW w:w="5103" w:type="dxa"/>
          <w:vAlign w:val="center"/>
        </w:tcPr>
        <w:p w:rsidR="00C26896" w:rsidRDefault="00635F9F">
          <w:pPr>
            <w:pBdr>
              <w:top w:val="nil"/>
              <w:left w:val="nil"/>
              <w:bottom w:val="nil"/>
              <w:right w:val="nil"/>
              <w:between w:val="nil"/>
            </w:pBdr>
            <w:tabs>
              <w:tab w:val="center" w:pos="4320"/>
              <w:tab w:val="right" w:pos="8640"/>
            </w:tabs>
            <w:jc w:val="center"/>
            <w:rPr>
              <w:rFonts w:ascii="Arial" w:eastAsia="Arial" w:hAnsi="Arial" w:cs="Arial"/>
              <w:i/>
              <w:smallCaps/>
              <w:color w:val="000000"/>
              <w:sz w:val="14"/>
              <w:szCs w:val="14"/>
            </w:rPr>
          </w:pPr>
          <w:r>
            <w:rPr>
              <w:rFonts w:ascii="Arial" w:eastAsia="Arial" w:hAnsi="Arial" w:cs="Arial"/>
              <w:i/>
              <w:smallCaps/>
              <w:color w:val="000000"/>
              <w:sz w:val="14"/>
              <w:szCs w:val="14"/>
            </w:rPr>
            <w:t>XXVII Congreso Nacional del Agua</w:t>
          </w:r>
        </w:p>
        <w:p w:rsidR="00C26896" w:rsidRDefault="00635F9F">
          <w:pPr>
            <w:pBdr>
              <w:top w:val="nil"/>
              <w:left w:val="nil"/>
              <w:bottom w:val="nil"/>
              <w:right w:val="nil"/>
              <w:between w:val="nil"/>
            </w:pBdr>
            <w:tabs>
              <w:tab w:val="center" w:pos="4320"/>
              <w:tab w:val="right" w:pos="8640"/>
            </w:tabs>
            <w:jc w:val="center"/>
            <w:rPr>
              <w:rFonts w:ascii="Arial" w:eastAsia="Arial" w:hAnsi="Arial" w:cs="Arial"/>
              <w:i/>
              <w:smallCaps/>
              <w:color w:val="000000"/>
              <w:sz w:val="14"/>
              <w:szCs w:val="14"/>
            </w:rPr>
          </w:pPr>
          <w:r>
            <w:rPr>
              <w:rFonts w:ascii="Arial" w:eastAsia="Arial" w:hAnsi="Arial" w:cs="Arial"/>
              <w:i/>
              <w:smallCaps/>
              <w:color w:val="000000"/>
              <w:sz w:val="14"/>
              <w:szCs w:val="14"/>
            </w:rPr>
            <w:t>BUENOS AIRES, ARGENTINA, JUNIO DE 2023</w:t>
          </w:r>
        </w:p>
      </w:tc>
      <w:tc>
        <w:tcPr>
          <w:tcW w:w="1842" w:type="dxa"/>
          <w:vAlign w:val="center"/>
        </w:tcPr>
        <w:p w:rsidR="00C26896" w:rsidRDefault="00635F9F">
          <w:pPr>
            <w:pBdr>
              <w:top w:val="nil"/>
              <w:left w:val="nil"/>
              <w:bottom w:val="nil"/>
              <w:right w:val="nil"/>
              <w:between w:val="nil"/>
            </w:pBdr>
            <w:tabs>
              <w:tab w:val="center" w:pos="4320"/>
              <w:tab w:val="right" w:pos="8640"/>
            </w:tabs>
            <w:jc w:val="right"/>
            <w:rPr>
              <w:rFonts w:ascii="Arial" w:eastAsia="Arial" w:hAnsi="Arial" w:cs="Arial"/>
              <w:i/>
              <w:smallCaps/>
              <w:color w:val="000000"/>
              <w:sz w:val="14"/>
              <w:szCs w:val="14"/>
            </w:rPr>
          </w:pPr>
          <w:r>
            <w:rPr>
              <w:rFonts w:ascii="Arial" w:eastAsia="Arial" w:hAnsi="Arial" w:cs="Arial"/>
              <w:i/>
              <w:smallCaps/>
              <w:color w:val="000000"/>
              <w:sz w:val="14"/>
              <w:szCs w:val="14"/>
            </w:rPr>
            <w:t>INA</w:t>
          </w:r>
        </w:p>
      </w:tc>
    </w:tr>
  </w:tbl>
  <w:p w:rsidR="00C26896" w:rsidRDefault="00C26896">
    <w:pPr>
      <w:pBdr>
        <w:top w:val="nil"/>
        <w:left w:val="nil"/>
        <w:bottom w:val="nil"/>
        <w:right w:val="nil"/>
        <w:between w:val="nil"/>
      </w:pBdr>
      <w:tabs>
        <w:tab w:val="center" w:pos="4320"/>
        <w:tab w:val="right" w:pos="8640"/>
      </w:tabs>
      <w:jc w:val="center"/>
      <w:rPr>
        <w:rFonts w:ascii="Arial" w:eastAsia="Arial" w:hAnsi="Arial" w:cs="Arial"/>
        <w:i/>
        <w:smallCaps/>
        <w:color w:val="000000"/>
        <w:sz w:val="14"/>
        <w:szCs w:val="14"/>
      </w:rPr>
    </w:pPr>
  </w:p>
  <w:p w:rsidR="00C26896" w:rsidRDefault="00C26896">
    <w:pPr>
      <w:pBdr>
        <w:top w:val="nil"/>
        <w:left w:val="nil"/>
        <w:bottom w:val="nil"/>
        <w:right w:val="nil"/>
        <w:between w:val="nil"/>
      </w:pBdr>
      <w:tabs>
        <w:tab w:val="center" w:pos="4320"/>
        <w:tab w:val="right" w:pos="8640"/>
      </w:tabs>
      <w:jc w:val="center"/>
      <w:rPr>
        <w:rFonts w:ascii="Arial" w:eastAsia="Arial" w:hAnsi="Arial" w:cs="Arial"/>
        <w:smallCaps/>
        <w:color w:val="000000"/>
        <w:sz w:val="14"/>
        <w:szCs w:val="14"/>
      </w:rPr>
    </w:pPr>
  </w:p>
  <w:p w:rsidR="00C26896" w:rsidRDefault="00C26896">
    <w:pPr>
      <w:pBdr>
        <w:top w:val="nil"/>
        <w:left w:val="nil"/>
        <w:bottom w:val="nil"/>
        <w:right w:val="nil"/>
        <w:between w:val="nil"/>
      </w:pBdr>
      <w:tabs>
        <w:tab w:val="center" w:pos="4320"/>
        <w:tab w:val="right" w:pos="864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896"/>
    <w:rsid w:val="000D3851"/>
    <w:rsid w:val="00154F86"/>
    <w:rsid w:val="001E3E13"/>
    <w:rsid w:val="002B6D34"/>
    <w:rsid w:val="00340CB2"/>
    <w:rsid w:val="0040747D"/>
    <w:rsid w:val="004A68C9"/>
    <w:rsid w:val="004C5D43"/>
    <w:rsid w:val="00590E60"/>
    <w:rsid w:val="00635F9F"/>
    <w:rsid w:val="0065587B"/>
    <w:rsid w:val="00815517"/>
    <w:rsid w:val="00865EE3"/>
    <w:rsid w:val="008E2CF0"/>
    <w:rsid w:val="00940278"/>
    <w:rsid w:val="00951401"/>
    <w:rsid w:val="009E583F"/>
    <w:rsid w:val="00AA0A88"/>
    <w:rsid w:val="00AD4433"/>
    <w:rsid w:val="00BC0018"/>
    <w:rsid w:val="00C26896"/>
    <w:rsid w:val="00C5486A"/>
    <w:rsid w:val="00C621E5"/>
    <w:rsid w:val="00CF32A2"/>
    <w:rsid w:val="00D950CE"/>
    <w:rsid w:val="00E04CEB"/>
    <w:rsid w:val="00EA00C6"/>
    <w:rsid w:val="00F43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VE"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eastAsia="es-VE"/>
    </w:rPr>
  </w:style>
  <w:style w:type="paragraph" w:styleId="Ttulo1">
    <w:name w:val="heading 1"/>
    <w:basedOn w:val="Normal"/>
    <w:next w:val="Normal"/>
    <w:qFormat/>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outlineLvl w:val="0"/>
    </w:pPr>
    <w:rPr>
      <w:rFonts w:ascii="Arial" w:hAnsi="Arial"/>
      <w:b/>
      <w:color w:val="000000"/>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qFormat/>
    <w:pPr>
      <w:keepNext/>
      <w:spacing w:before="240" w:after="60"/>
      <w:outlineLvl w:val="2"/>
    </w:pPr>
    <w:rPr>
      <w:rFonts w:ascii="Arial" w:hAnsi="Arial"/>
      <w:sz w:val="24"/>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Textoindependiente">
    <w:name w:val="Body Text"/>
    <w:basedOn w:val="Normal"/>
    <w:semiHidden/>
    <w:pPr>
      <w:widowControl/>
    </w:pPr>
    <w:rPr>
      <w:color w:val="000000"/>
      <w:sz w:val="24"/>
    </w:r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paragraph" w:styleId="Epgrafe">
    <w:name w:val="caption"/>
    <w:basedOn w:val="Normal"/>
    <w:next w:val="Normal"/>
    <w:qFormat/>
    <w:pPr>
      <w:framePr w:w="8961" w:h="1323" w:hSpace="180" w:wrap="around" w:vAnchor="text" w:hAnchor="page" w:x="1510" w:y="-3"/>
      <w:jc w:val="center"/>
    </w:pPr>
    <w:rPr>
      <w:sz w:val="24"/>
    </w:rPr>
  </w:style>
  <w:style w:type="character" w:styleId="Nmerodepgina">
    <w:name w:val="page number"/>
    <w:basedOn w:val="Fuentedeprrafopredeter"/>
    <w:semiHidden/>
  </w:style>
  <w:style w:type="paragraph" w:styleId="Textoindependiente2">
    <w:name w:val="Body Text 2"/>
    <w:basedOn w:val="Normal"/>
    <w:semiHidden/>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80"/>
      <w:jc w:val="both"/>
    </w:pPr>
    <w:rPr>
      <w:color w:val="000000"/>
      <w:sz w:val="18"/>
    </w:rPr>
  </w:style>
  <w:style w:type="paragraph" w:customStyle="1" w:styleId="IECA-Tit">
    <w:name w:val="IECA-Tit"/>
    <w:basedOn w:val="Ttulo1"/>
    <w:autoRedefine/>
    <w:pPr>
      <w:framePr w:w="9001" w:h="1741" w:hSpace="180" w:wrap="around" w:vAnchor="text" w:hAnchor="page" w:x="1441" w:y="7"/>
      <w:spacing w:after="120"/>
      <w:jc w:val="center"/>
    </w:pPr>
    <w:rPr>
      <w:smallCaps/>
      <w:sz w:val="28"/>
    </w:rPr>
  </w:style>
  <w:style w:type="paragraph" w:customStyle="1" w:styleId="IECA-autores">
    <w:name w:val="IECA-autores"/>
    <w:basedOn w:val="Epgrafe"/>
    <w:pPr>
      <w:framePr w:w="9001" w:h="1741" w:wrap="around" w:x="1441" w:y="7"/>
      <w:spacing w:after="80"/>
    </w:pPr>
  </w:style>
  <w:style w:type="paragraph" w:customStyle="1" w:styleId="IECA-Titulo1">
    <w:name w:val="IECA-Titulo1"/>
    <w:basedOn w:val="Ttulo3"/>
    <w:autoRedefin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160"/>
      <w:jc w:val="both"/>
    </w:pPr>
    <w:rPr>
      <w:b/>
      <w:color w:val="000000"/>
      <w:sz w:val="20"/>
    </w:rPr>
  </w:style>
  <w:style w:type="paragraph" w:customStyle="1" w:styleId="IECA-Texto">
    <w:name w:val="IECA-Texto"/>
    <w:basedOn w:val="Normal"/>
    <w:autoRedefin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80"/>
      <w:jc w:val="both"/>
    </w:pPr>
    <w:rPr>
      <w:color w:val="000000"/>
      <w:sz w:val="18"/>
    </w:rPr>
  </w:style>
  <w:style w:type="paragraph" w:customStyle="1" w:styleId="IECA-Figuras">
    <w:name w:val="IECA-Figuras"/>
    <w:basedOn w:val="Normal"/>
    <w:autoRedefin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jc w:val="center"/>
    </w:pPr>
    <w:rPr>
      <w:color w:val="000000"/>
      <w:sz w:val="16"/>
    </w:rPr>
  </w:style>
  <w:style w:type="paragraph" w:customStyle="1" w:styleId="IECA-Tablas">
    <w:name w:val="IECA-Tablas"/>
    <w:basedOn w:val="Normal"/>
    <w:autoRedefin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60"/>
      <w:jc w:val="center"/>
    </w:pPr>
    <w:rPr>
      <w:color w:val="000000"/>
      <w:sz w:val="16"/>
    </w:rPr>
  </w:style>
  <w:style w:type="paragraph" w:customStyle="1" w:styleId="Textodeglobo1">
    <w:name w:val="Texto de globo1"/>
    <w:basedOn w:val="Normal"/>
    <w:rPr>
      <w:rFonts w:ascii="Tahoma" w:hAnsi="Tahoma" w:cs="Tahoma"/>
      <w:sz w:val="16"/>
      <w:szCs w:val="16"/>
    </w:rPr>
  </w:style>
  <w:style w:type="character" w:customStyle="1" w:styleId="CharChar">
    <w:name w:val="Char Char"/>
    <w:rPr>
      <w:rFonts w:ascii="Tahoma" w:hAnsi="Tahoma" w:cs="Tahoma"/>
      <w:sz w:val="16"/>
      <w:szCs w:val="16"/>
      <w:lang w:val="en-US" w:eastAsia="es-VE"/>
    </w:rPr>
  </w:style>
  <w:style w:type="character" w:styleId="Hipervnculo">
    <w:name w:val="Hyperlink"/>
    <w:basedOn w:val="Fuentedeprrafopredeter"/>
    <w:uiPriority w:val="99"/>
    <w:unhideWhenUsed/>
    <w:rsid w:val="00CF0A4B"/>
    <w:rPr>
      <w:color w:val="0563C1" w:themeColor="hyperlink"/>
      <w:u w:val="single"/>
    </w:rPr>
  </w:style>
  <w:style w:type="character" w:customStyle="1" w:styleId="UnresolvedMention">
    <w:name w:val="Unresolved Mention"/>
    <w:basedOn w:val="Fuentedeprrafopredeter"/>
    <w:uiPriority w:val="99"/>
    <w:semiHidden/>
    <w:unhideWhenUsed/>
    <w:rsid w:val="00CF0A4B"/>
    <w:rPr>
      <w:color w:val="605E5C"/>
      <w:shd w:val="clear" w:color="auto" w:fill="E1DFDD"/>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VE"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eastAsia="es-VE"/>
    </w:rPr>
  </w:style>
  <w:style w:type="paragraph" w:styleId="Ttulo1">
    <w:name w:val="heading 1"/>
    <w:basedOn w:val="Normal"/>
    <w:next w:val="Normal"/>
    <w:qFormat/>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outlineLvl w:val="0"/>
    </w:pPr>
    <w:rPr>
      <w:rFonts w:ascii="Arial" w:hAnsi="Arial"/>
      <w:b/>
      <w:color w:val="000000"/>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qFormat/>
    <w:pPr>
      <w:keepNext/>
      <w:spacing w:before="240" w:after="60"/>
      <w:outlineLvl w:val="2"/>
    </w:pPr>
    <w:rPr>
      <w:rFonts w:ascii="Arial" w:hAnsi="Arial"/>
      <w:sz w:val="24"/>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Textoindependiente">
    <w:name w:val="Body Text"/>
    <w:basedOn w:val="Normal"/>
    <w:semiHidden/>
    <w:pPr>
      <w:widowControl/>
    </w:pPr>
    <w:rPr>
      <w:color w:val="000000"/>
      <w:sz w:val="24"/>
    </w:r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paragraph" w:styleId="Epgrafe">
    <w:name w:val="caption"/>
    <w:basedOn w:val="Normal"/>
    <w:next w:val="Normal"/>
    <w:qFormat/>
    <w:pPr>
      <w:framePr w:w="8961" w:h="1323" w:hSpace="180" w:wrap="around" w:vAnchor="text" w:hAnchor="page" w:x="1510" w:y="-3"/>
      <w:jc w:val="center"/>
    </w:pPr>
    <w:rPr>
      <w:sz w:val="24"/>
    </w:rPr>
  </w:style>
  <w:style w:type="character" w:styleId="Nmerodepgina">
    <w:name w:val="page number"/>
    <w:basedOn w:val="Fuentedeprrafopredeter"/>
    <w:semiHidden/>
  </w:style>
  <w:style w:type="paragraph" w:styleId="Textoindependiente2">
    <w:name w:val="Body Text 2"/>
    <w:basedOn w:val="Normal"/>
    <w:semiHidden/>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80"/>
      <w:jc w:val="both"/>
    </w:pPr>
    <w:rPr>
      <w:color w:val="000000"/>
      <w:sz w:val="18"/>
    </w:rPr>
  </w:style>
  <w:style w:type="paragraph" w:customStyle="1" w:styleId="IECA-Tit">
    <w:name w:val="IECA-Tit"/>
    <w:basedOn w:val="Ttulo1"/>
    <w:autoRedefine/>
    <w:pPr>
      <w:framePr w:w="9001" w:h="1741" w:hSpace="180" w:wrap="around" w:vAnchor="text" w:hAnchor="page" w:x="1441" w:y="7"/>
      <w:spacing w:after="120"/>
      <w:jc w:val="center"/>
    </w:pPr>
    <w:rPr>
      <w:smallCaps/>
      <w:sz w:val="28"/>
    </w:rPr>
  </w:style>
  <w:style w:type="paragraph" w:customStyle="1" w:styleId="IECA-autores">
    <w:name w:val="IECA-autores"/>
    <w:basedOn w:val="Epgrafe"/>
    <w:pPr>
      <w:framePr w:w="9001" w:h="1741" w:wrap="around" w:x="1441" w:y="7"/>
      <w:spacing w:after="80"/>
    </w:pPr>
  </w:style>
  <w:style w:type="paragraph" w:customStyle="1" w:styleId="IECA-Titulo1">
    <w:name w:val="IECA-Titulo1"/>
    <w:basedOn w:val="Ttulo3"/>
    <w:autoRedefin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160"/>
      <w:jc w:val="both"/>
    </w:pPr>
    <w:rPr>
      <w:b/>
      <w:color w:val="000000"/>
      <w:sz w:val="20"/>
    </w:rPr>
  </w:style>
  <w:style w:type="paragraph" w:customStyle="1" w:styleId="IECA-Texto">
    <w:name w:val="IECA-Texto"/>
    <w:basedOn w:val="Normal"/>
    <w:autoRedefin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80"/>
      <w:jc w:val="both"/>
    </w:pPr>
    <w:rPr>
      <w:color w:val="000000"/>
      <w:sz w:val="18"/>
    </w:rPr>
  </w:style>
  <w:style w:type="paragraph" w:customStyle="1" w:styleId="IECA-Figuras">
    <w:name w:val="IECA-Figuras"/>
    <w:basedOn w:val="Normal"/>
    <w:autoRedefin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jc w:val="center"/>
    </w:pPr>
    <w:rPr>
      <w:color w:val="000000"/>
      <w:sz w:val="16"/>
    </w:rPr>
  </w:style>
  <w:style w:type="paragraph" w:customStyle="1" w:styleId="IECA-Tablas">
    <w:name w:val="IECA-Tablas"/>
    <w:basedOn w:val="Normal"/>
    <w:autoRedefin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60"/>
      <w:jc w:val="center"/>
    </w:pPr>
    <w:rPr>
      <w:color w:val="000000"/>
      <w:sz w:val="16"/>
    </w:rPr>
  </w:style>
  <w:style w:type="paragraph" w:customStyle="1" w:styleId="Textodeglobo1">
    <w:name w:val="Texto de globo1"/>
    <w:basedOn w:val="Normal"/>
    <w:rPr>
      <w:rFonts w:ascii="Tahoma" w:hAnsi="Tahoma" w:cs="Tahoma"/>
      <w:sz w:val="16"/>
      <w:szCs w:val="16"/>
    </w:rPr>
  </w:style>
  <w:style w:type="character" w:customStyle="1" w:styleId="CharChar">
    <w:name w:val="Char Char"/>
    <w:rPr>
      <w:rFonts w:ascii="Tahoma" w:hAnsi="Tahoma" w:cs="Tahoma"/>
      <w:sz w:val="16"/>
      <w:szCs w:val="16"/>
      <w:lang w:val="en-US" w:eastAsia="es-VE"/>
    </w:rPr>
  </w:style>
  <w:style w:type="character" w:styleId="Hipervnculo">
    <w:name w:val="Hyperlink"/>
    <w:basedOn w:val="Fuentedeprrafopredeter"/>
    <w:uiPriority w:val="99"/>
    <w:unhideWhenUsed/>
    <w:rsid w:val="00CF0A4B"/>
    <w:rPr>
      <w:color w:val="0563C1" w:themeColor="hyperlink"/>
      <w:u w:val="single"/>
    </w:rPr>
  </w:style>
  <w:style w:type="character" w:customStyle="1" w:styleId="UnresolvedMention">
    <w:name w:val="Unresolved Mention"/>
    <w:basedOn w:val="Fuentedeprrafopredeter"/>
    <w:uiPriority w:val="99"/>
    <w:semiHidden/>
    <w:unhideWhenUsed/>
    <w:rsid w:val="00CF0A4B"/>
    <w:rPr>
      <w:color w:val="605E5C"/>
      <w:shd w:val="clear" w:color="auto" w:fill="E1DFDD"/>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leangior@gmail.co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doH/wJLjjvwXpoPKZ9IdB6xrJAQ==">AMUW2mUjqSm23kBSFeSrRjYrmr5V6F0nw+aYukKW6f7xhLxr/NtG5M8cl5nsMbSDbqbYd4fJZRHQbY9X5xSvXxreqX+dSrslqQn7ULVY+VgO6RNuvvlWL60=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741</TotalTime>
  <Pages>1</Pages>
  <Words>470</Words>
  <Characters>2685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pspalletti</dc:creator>
  <cp:lastModifiedBy>Usuario</cp:lastModifiedBy>
  <cp:revision>6</cp:revision>
  <dcterms:created xsi:type="dcterms:W3CDTF">2023-03-13T15:46:00Z</dcterms:created>
  <dcterms:modified xsi:type="dcterms:W3CDTF">2023-04-14T19:08:00Z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1503446463</vt:i4>
  </property>
  <property fmtid="{D5CDD505-2E9C-101B-9397-08002B2CF9AE}" pid="3" name="_EmailSubject">
    <vt:lpwstr>Formato</vt:lpwstr>
  </property>
  <property fmtid="{D5CDD505-2E9C-101B-9397-08002B2CF9AE}" pid="4" name="_AuthorEmail">
    <vt:lpwstr>EMMARTINEZ@edelca.com.ve</vt:lpwstr>
  </property>
  <property fmtid="{D5CDD505-2E9C-101B-9397-08002B2CF9AE}" pid="5" name="_AuthorEmailDisplayName">
    <vt:lpwstr>Emilio Jose Martinez Pardo</vt:lpwstr>
  </property>
  <property fmtid="{D5CDD505-2E9C-101B-9397-08002B2CF9AE}" pid="6" name="_PreviousAdHocReviewCycleID">
    <vt:i4>211053517</vt:i4>
  </property>
  <property fmtid="{D5CDD505-2E9C-101B-9397-08002B2CF9AE}" pid="7" name="_ReviewingToolsShownOnce">
    <vt:lpwstr/>
  </property>
</Properties>
</file>