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Mobility:</w:t>
      </w:r>
      <w:r>
        <w:t xml:space="preserve"> </w:t>
      </w:r>
      <w:r>
        <w:t xml:space="preserve">What?</w:t>
      </w:r>
      <w:r>
        <w:t xml:space="preserve"> </w:t>
      </w:r>
      <w:r>
        <w:t xml:space="preserve">When?</w:t>
      </w:r>
      <w:r>
        <w:t xml:space="preserve"> </w:t>
      </w:r>
      <w:r>
        <w:t xml:space="preserve">How?</w:t>
      </w:r>
      <w:r>
        <w:t xml:space="preserve"> </w:t>
      </w:r>
      <w:r>
        <w:t xml:space="preserve">社会流动：是什么？在何时？怎样发生？</w:t>
      </w:r>
    </w:p>
    <w:p>
      <w:pPr>
        <w:pStyle w:val="Author"/>
      </w:pPr>
      <w:r>
        <w:t xml:space="preserve">原著：Andrew</w:t>
      </w:r>
      <w:r>
        <w:t xml:space="preserve"> </w:t>
      </w:r>
      <w:r>
        <w:t xml:space="preserve">Abbott</w:t>
      </w:r>
      <w:r>
        <w:t xml:space="preserve"> </w:t>
      </w:r>
      <w:r>
        <w:t xml:space="preserve">安德鲁·阿伯特</w:t>
      </w:r>
    </w:p>
    <w:p>
      <w:pPr>
        <w:pStyle w:val="Author"/>
      </w:pPr>
      <w:r>
        <w:t xml:space="preserve">翻译：周忆粟</w:t>
      </w:r>
    </w:p>
    <w:p>
      <w:pPr>
        <w:pStyle w:val="Date"/>
      </w:pPr>
      <w:r>
        <w:t xml:space="preserve">版本：2022.07.15</w:t>
      </w:r>
    </w:p>
    <w:p>
      <w:r>
        <w:pict>
          <v:rect style="width:0;height:1.5pt" o:hralign="center" o:hrstd="t" o:hr="t"/>
        </w:pict>
      </w:r>
    </w:p>
    <w:p>
      <w:pPr>
        <w:pStyle w:val="FirstParagraph"/>
      </w:pPr>
      <w:r>
        <w:t xml:space="preserve">我感谢戴维·格鲁斯基（David B. Grusky）和他的同事，是他们最初的邀请让我有机会发表本文。文中所有与美国劳动力市场相关但未标注的统计数据和计算均来自Abbott（2005）。</w:t>
      </w:r>
    </w:p>
    <w:p>
      <w:pPr>
        <w:pStyle w:val="BodyText"/>
      </w:pPr>
      <w:r>
        <w:t xml:space="preserve">［译注］本文译自</w:t>
      </w:r>
      <w:r>
        <w:t xml:space="preserve"> </w:t>
      </w:r>
      <w:r>
        <w:t xml:space="preserve">“</w:t>
      </w:r>
      <w:r>
        <w:t xml:space="preserve">Mobility: What? When? How?</w:t>
      </w:r>
      <w:r>
        <w:t xml:space="preserve">”</w:t>
      </w:r>
      <w:r>
        <w:t xml:space="preserve"> </w:t>
      </w:r>
      <w:r>
        <w:t xml:space="preserve">Pp. 137-161 in</w:t>
      </w:r>
      <w:r>
        <w:t xml:space="preserve"> </w:t>
      </w:r>
      <w:r>
        <w:rPr>
          <w:iCs/>
          <w:i/>
        </w:rPr>
        <w:t xml:space="preserve">Mobility and Inequality</w:t>
      </w:r>
      <w:r>
        <w:t xml:space="preserve"> </w:t>
      </w:r>
      <w:r>
        <w:t xml:space="preserve">Eds. S. L. Morgan, D. Grusky, and G. Fields. Stanford: Stanford University Press. 2006.</w:t>
      </w:r>
    </w:p>
    <w:p>
      <w:r>
        <w:pict>
          <v:rect style="width:0;height:1.5pt" o:hralign="center" o:hrstd="t" o:hr="t"/>
        </w:pict>
      </w:r>
    </w:p>
    <w:p>
      <w:pPr>
        <w:pStyle w:val="FirstParagraph"/>
      </w:pPr>
      <w:r>
        <w:t xml:space="preserve">个人生涯、代际传递和劳动分工的交集似乎出了一道特别令人困惑的问题。一方面，生命历程的属性包含各种规律性和决定性，其中之一就是一定的节奏和步调。另一方面，这些生命历程所流经的结构本身相当稳固（solidity），同时也有自己完全不同的历史节奏。当我们研究流动的时候，所面临的挑战就是要把这样两种时间结构的交叉点理论化。然而与此同时，我们也必须理论化每一个独立的结构——职业生涯和劳动分工——如何在时间中延续（endure），因为这也不是自明的。</w:t>
      </w:r>
    </w:p>
    <w:bookmarkStart w:id="31" w:name="职业过程与流动的概念"/>
    <w:p>
      <w:pPr>
        <w:pStyle w:val="Heading1"/>
      </w:pPr>
      <w:r>
        <w:t xml:space="preserve">职业过程与流动的概念</w:t>
      </w:r>
    </w:p>
    <w:p>
      <w:pPr>
        <w:pStyle w:val="FirstParagraph"/>
      </w:pPr>
      <w:r>
        <w:t xml:space="preserve">社会流动本身并不是一种原始概念，而是更高层次的概念。它侧重于一项更广义事物的具体方面，我在此称该事物为「职业过程」（the occupational process）。尽管在大多数时候每一位研究流动的作者在脑海里都会想到这个更一般的过程，但把它显露出来对我们很有帮助。我们可以先用列克西斯图（Lexis diagram）来想象它，时间从左至右运行，年龄沿垂直方向由下至上递增。个人的生活是向右上升的斜率为1的对角线。在这组元素中，我们需要添加一个社会结构性的「维度」——我在此把它命名为职业（occupations），尽管它也可以很容易地像约翰·戈德索普（John Goldthorpe）表述的那样成为阶级／阶层，或者像布劳和邓肯那样成为线性的声望维度（linear prestige），或者其他什么。这构成了第三个维度，垂直于页面。</w:t>
      </w:r>
      <w:r>
        <w:rPr>
          <w:rStyle w:val="FootnoteReference"/>
        </w:rPr>
        <w:footnoteReference w:id="20"/>
      </w:r>
    </w:p>
    <w:p>
      <w:pPr>
        <w:pStyle w:val="BodyText"/>
      </w:pPr>
      <w:r>
        <w:t xml:space="preserve">图6.1和6.2表明了这个职业维度。图6.1是一幅标准的列克西斯图，时间向右推进，年龄向上推进。与一般的列克西斯图不同的是，这个图的年龄轴原点是传统意义下进入劳动力市场的年龄——16岁。每条对角线代表一个人（或一群个体，我们将在下面看到）在某一年龄进入该职业。由于这个起始年龄未必是16岁，所以许多线从x轴上方开始。当一个人（或一群个体）因死亡、退休或被调往其他职业而离开当前职业时，线段终止。因此，线段代表了个人生涯轨迹中位于特定职业中的部分，线段显示了年龄和时期的关系。随着时间的推移，图1中所示职业的年龄越来越大，但年龄增大只反映在入职年龄上（而不是离职）。</w:t>
      </w:r>
      <w:r>
        <w:rPr>
          <w:rStyle w:val="FootnoteReference"/>
        </w:rPr>
        <w:footnoteReference w:id="21"/>
      </w:r>
    </w:p>
    <w:p>
      <w:pPr>
        <w:pStyle w:val="BodyText"/>
      </w:pPr>
      <w:r>
        <w:t xml:space="preserve">图2显示了这些平面的层叠（lamination of such planes），每一个平面代表了不同的职业。显然，根据进入和离开职业的年龄结构，每个平面内的轨迹段模式会有很大的不同。与图1所示的职业不同，本图中可见职业无论是进入年龄还是退出年龄都越来越低。</w:t>
      </w:r>
    </w:p>
    <w:p>
      <w:pPr>
        <w:pStyle w:val="CaptionedFigure"/>
      </w:pPr>
      <w:r>
        <w:drawing>
          <wp:inline>
            <wp:extent cx="5238750" cy="2919786"/>
            <wp:effectExtent b="0" l="0" r="0" t="0"/>
            <wp:docPr descr="年龄／时间" title="" id="23" name="Picture"/>
            <a:graphic>
              <a:graphicData uri="http://schemas.openxmlformats.org/drawingml/2006/picture">
                <pic:pic>
                  <pic:nvPicPr>
                    <pic:cNvPr descr="./pic/mobility_fig1.png" id="24" name="Picture"/>
                    <pic:cNvPicPr>
                      <a:picLocks noChangeArrowheads="1" noChangeAspect="1"/>
                    </pic:cNvPicPr>
                  </pic:nvPicPr>
                  <pic:blipFill>
                    <a:blip r:embed="rId22"/>
                    <a:stretch>
                      <a:fillRect/>
                    </a:stretch>
                  </pic:blipFill>
                  <pic:spPr bwMode="auto">
                    <a:xfrm>
                      <a:off x="0" y="0"/>
                      <a:ext cx="5238750" cy="2919786"/>
                    </a:xfrm>
                    <a:prstGeom prst="rect">
                      <a:avLst/>
                    </a:prstGeom>
                    <a:noFill/>
                    <a:ln w="9525">
                      <a:noFill/>
                      <a:headEnd/>
                      <a:tailEnd/>
                    </a:ln>
                  </pic:spPr>
                </pic:pic>
              </a:graphicData>
            </a:graphic>
          </wp:inline>
        </w:drawing>
      </w:r>
    </w:p>
    <w:p>
      <w:pPr>
        <w:pStyle w:val="ImageCaption"/>
      </w:pPr>
      <w:r>
        <w:t xml:space="preserve">年龄／时间</w:t>
      </w:r>
    </w:p>
    <w:p>
      <w:pPr>
        <w:pStyle w:val="CaptionedFigure"/>
      </w:pPr>
      <w:r>
        <w:drawing>
          <wp:inline>
            <wp:extent cx="5238750" cy="3443664"/>
            <wp:effectExtent b="0" l="0" r="0" t="0"/>
            <wp:docPr descr="年龄／时间" title="" id="26" name="Picture"/>
            <a:graphic>
              <a:graphicData uri="http://schemas.openxmlformats.org/drawingml/2006/picture">
                <pic:pic>
                  <pic:nvPicPr>
                    <pic:cNvPr descr="./pic/mobility_fig2.png" id="27" name="Picture"/>
                    <pic:cNvPicPr>
                      <a:picLocks noChangeArrowheads="1" noChangeAspect="1"/>
                    </pic:cNvPicPr>
                  </pic:nvPicPr>
                  <pic:blipFill>
                    <a:blip r:embed="rId25"/>
                    <a:stretch>
                      <a:fillRect/>
                    </a:stretch>
                  </pic:blipFill>
                  <pic:spPr bwMode="auto">
                    <a:xfrm>
                      <a:off x="0" y="0"/>
                      <a:ext cx="5238750" cy="3443664"/>
                    </a:xfrm>
                    <a:prstGeom prst="rect">
                      <a:avLst/>
                    </a:prstGeom>
                    <a:noFill/>
                    <a:ln w="9525">
                      <a:noFill/>
                      <a:headEnd/>
                      <a:tailEnd/>
                    </a:ln>
                  </pic:spPr>
                </pic:pic>
              </a:graphicData>
            </a:graphic>
          </wp:inline>
        </w:drawing>
      </w:r>
    </w:p>
    <w:p>
      <w:pPr>
        <w:pStyle w:val="ImageCaption"/>
      </w:pPr>
      <w:r>
        <w:t xml:space="preserve">年龄／时间</w:t>
      </w:r>
    </w:p>
    <w:p>
      <w:pPr>
        <w:pStyle w:val="BodyText"/>
      </w:pPr>
      <w:r>
        <w:t xml:space="preserve">由于个体在工作生活（work lives）中会更换职业，所以个人的职业列克西斯线未必连续。但我们可以想象，将个人的轨迹识别成为一串关联在一起的序列轨迹段（a linked sequence of the trajectory segments），这个序列反映了个人在其从事的多个职业中的持续时间（spells）。这种联系在图3中标识为含箭头的线段。由于箭头段垂直于职业平面，因此不涉及年龄或时段的变化，而只表示职业的变化。图3中的虚线代表了「如果个人的整个职业生涯都在单一职业中度过时，他／她隐性可能实现的生涯」。</w:t>
      </w:r>
    </w:p>
    <w:p>
      <w:pPr>
        <w:pStyle w:val="BodyText"/>
      </w:pPr>
      <w:r>
        <w:t xml:space="preserve">我们还必须想象另一种设想方式，即在同一轨迹或轨迹段上有多个个体。如果我们试图停留在相对便于理解的三维空间中，可以将其想象为任何给定轨迹段的一种密度或质量（density or mass）。（或者，我们还可以想象出第四个正交维度，即个体的维度）。</w:t>
      </w:r>
    </w:p>
    <w:p>
      <w:pPr>
        <w:pStyle w:val="BodyText"/>
      </w:pPr>
      <w:r>
        <w:t xml:space="preserve">这幅图像捕捉到了我们感兴趣的职业过程的许多东西。如图3所示，个体生涯是一个特定人的轨迹片段，跨越时间段和职业关联成一道单一的个体轨迹。职业的（人口学）生涯是垂直于职业轴的特定平面上的轨迹段的集合。因此，我们有简单的方法来设想个人和职业的「生涯」。</w:t>
      </w:r>
    </w:p>
    <w:p>
      <w:pPr>
        <w:pStyle w:val="CaptionedFigure"/>
      </w:pPr>
      <w:r>
        <w:drawing>
          <wp:inline>
            <wp:extent cx="5238750" cy="2076167"/>
            <wp:effectExtent b="0" l="0" r="0" t="0"/>
            <wp:docPr descr="职业／时间" title="" id="29" name="Picture"/>
            <a:graphic>
              <a:graphicData uri="http://schemas.openxmlformats.org/drawingml/2006/picture">
                <pic:pic>
                  <pic:nvPicPr>
                    <pic:cNvPr descr="./pic/mobility_fig3.png" id="30" name="Picture"/>
                    <pic:cNvPicPr>
                      <a:picLocks noChangeArrowheads="1" noChangeAspect="1"/>
                    </pic:cNvPicPr>
                  </pic:nvPicPr>
                  <pic:blipFill>
                    <a:blip r:embed="rId28"/>
                    <a:stretch>
                      <a:fillRect/>
                    </a:stretch>
                  </pic:blipFill>
                  <pic:spPr bwMode="auto">
                    <a:xfrm>
                      <a:off x="0" y="0"/>
                      <a:ext cx="5238750" cy="2076167"/>
                    </a:xfrm>
                    <a:prstGeom prst="rect">
                      <a:avLst/>
                    </a:prstGeom>
                    <a:noFill/>
                    <a:ln w="9525">
                      <a:noFill/>
                      <a:headEnd/>
                      <a:tailEnd/>
                    </a:ln>
                  </pic:spPr>
                </pic:pic>
              </a:graphicData>
            </a:graphic>
          </wp:inline>
        </w:drawing>
      </w:r>
    </w:p>
    <w:p>
      <w:pPr>
        <w:pStyle w:val="ImageCaption"/>
      </w:pPr>
      <w:r>
        <w:t xml:space="preserve">职业／时间</w:t>
      </w:r>
    </w:p>
    <w:p>
      <w:pPr>
        <w:pStyle w:val="BodyText"/>
      </w:pPr>
      <w:r>
        <w:t xml:space="preserve">如果我们反过来考虑在某个时刻垂直于时间轴的平面，那么在某一时刻个体的职业转换（inter-occupational transitions）就由这样一个平面上的所有箭头段的全体来表示；那些代表「留在原职业的人」的点，其质量大小则增强了这一全体。这就是经典流动矩阵的概念基础。一旦我们把每个箭头约定俗成地参照原点或目标职业（只要我们对所有的箭头都做同样的处理，哪一个作为目标职业并不重要），所有轨迹段与该平面的交点就是一个特定时期的人口／职业结构（period’s demographic/occupational structure=PDOS）；这个结构捕捉了「谁现在处于什么年龄段又位于哪里」［这一现象］。我们可以把这个PDOS视作分工本身的经验实现，因为一种给定的技术生产体系可以在许多不同的职业间划分（所以没有理由将这个维度的结构假设为恒定）。因此，分工本身在很大程度上是一种概念性实体（conceptual entity），在实际的职业冲突（我在这里没有展示）和人口结构（我展示了）中展现出经验性形态。请注意，至此为止，社会结构层面并没有什么特别的「职业性」。如果我们把社会结构维度看成是阶级／阶层甚至是地区，那么即便用不同的术语，这整个分析仍然适用。</w:t>
      </w:r>
    </w:p>
    <w:p>
      <w:pPr>
        <w:pStyle w:val="BodyText"/>
      </w:pPr>
      <w:r>
        <w:t xml:space="preserve">到目前为止，我们已经考虑了图2中的两个基本平面。第一个平面垂直于职业轴（页面平面），它反映了给定职业随时间发展的人口结构（occupations’ demographic structure over time = ODST）。第二个平面垂直于时间维度。这就是PDOS，即某一时刻分工的人口学实现。现在考虑第三个平面及其相关的维度结构：轨迹段与「垂直于年龄维度的平面」的交点。这个平面反映了一个年龄段的职业结构随时间发展的变化（occupational structure of an age grade over time = AGOST）。AGOST相当重要。部分原因在于，由于许多职业的特点来自「随着时间的推移依然持续」的特殊年龄结构。例如，在目前的劳动力中对20岁年轻人的就业情况进行调查，会发现他们非常集中于某些职业中——事实上，约有一半的职业集中在餐厅勤杂工和食品行业中当助手、私人聘请的家庭儿童保育员、快餐厨子以及食品柜台和相关工人中。然而，这些职业与在职者后来的职业关系不大。这种模式的持续确实代表了某些「职业」的永久性年龄结构。（我将在后面解释这对吓人的引号。）但更重要的事实是，一个特定的AGOST在很大程度上既是分工的时期变化，也是其他AGOST「质量模式」（</w:t>
      </w:r>
      <w:r>
        <w:t xml:space="preserve">“</w:t>
      </w:r>
      <w:r>
        <w:t xml:space="preserve">mass pattern</w:t>
      </w:r>
      <w:r>
        <w:t xml:space="preserve">”</w:t>
      </w:r>
      <w:r>
        <w:t xml:space="preserve">）的函数。如果我们把分工看成一种自然的年龄结构，那么入职队列／同期群（entering cohort）的规模变化将对晋升的等待时间等［其他现象］产生巨大的年龄段影响，对这一点，后婴儿潮一代深有体会。</w:t>
      </w:r>
    </w:p>
    <w:p>
      <w:pPr>
        <w:pStyle w:val="BodyText"/>
      </w:pPr>
      <w:r>
        <w:t xml:space="preserve">因此，劳动力的大部分关键结构在此处都得到了体现：职业随时间和年龄的变化，年龄段随时间和职业的变化，以及相续的人口／职业结构。我们还有个人的生涯、它们的部分，以及将这些部分勾连起来的线。该阵列也让我们开始看到这些事物之间的关系。顺便指出，没有必要提前确定我们认为「决定」如何在该阵列中流动——职业是否、何时或如何塑造职业或分工？还是劳动分工支配职业或生涯？或一些职业决定其他职业，等等。人们只要背诵这个清单，就会想到所有这些可能性的杰出典型。</w:t>
      </w:r>
    </w:p>
    <w:p>
      <w:pPr>
        <w:pStyle w:val="BodyText"/>
      </w:pPr>
      <w:r>
        <w:t xml:space="preserve">还要注意的是，在时间上，我们要把这个系统看成由DOS平面的序列产生，向右行进，垂直于时间轴。无论我们如何思考因果关系——无论我们认为它流经个人生活或职业史，还是在分工的共时性关系中承续——它都必须通过这些相邻平面的进程来行使自己的力量，向未来无情地前进。深远的</w:t>
      </w:r>
      <w:r>
        <w:rPr>
          <w:iCs/>
          <w:i/>
        </w:rPr>
        <w:t xml:space="preserve">过去</w:t>
      </w:r>
      <w:r>
        <w:t xml:space="preserve">（deep past）不能对当前的</w:t>
      </w:r>
      <w:r>
        <w:rPr>
          <w:iCs/>
          <w:i/>
        </w:rPr>
        <w:t xml:space="preserve">现在</w:t>
      </w:r>
      <w:r>
        <w:t xml:space="preserve">伸手「导致」（cause）某些事情。要想在</w:t>
      </w:r>
      <w:r>
        <w:rPr>
          <w:iCs/>
          <w:i/>
        </w:rPr>
        <w:t xml:space="preserve">现在</w:t>
      </w:r>
      <w:r>
        <w:t xml:space="preserve">起作用，它必须把自己的影响编码到紧随其后的</w:t>
      </w:r>
      <w:r>
        <w:rPr>
          <w:iCs/>
          <w:i/>
        </w:rPr>
        <w:t xml:space="preserve">现在</w:t>
      </w:r>
      <w:r>
        <w:t xml:space="preserve">中去，然后这个</w:t>
      </w:r>
      <w:r>
        <w:rPr>
          <w:iCs/>
          <w:i/>
        </w:rPr>
        <w:t xml:space="preserve">现在</w:t>
      </w:r>
      <w:r>
        <w:t xml:space="preserve">再把自己编码到下一个直接的</w:t>
      </w:r>
      <w:r>
        <w:rPr>
          <w:iCs/>
          <w:i/>
        </w:rPr>
        <w:t xml:space="preserve">未来</w:t>
      </w:r>
      <w:r>
        <w:t xml:space="preserve">中去，如此循环往复，直到这种影响到达当前的</w:t>
      </w:r>
      <w:r>
        <w:rPr>
          <w:iCs/>
          <w:i/>
        </w:rPr>
        <w:t xml:space="preserve">现在</w:t>
      </w:r>
      <w:r>
        <w:t xml:space="preserve">。当然也存在某些种类的历史性超距行动：比如通过记忆，或者通过某些在文化上为这一明确目的而建构的形式，比如文凭。但是，将「决定」假设为「发生在从</w:t>
      </w:r>
      <w:r>
        <w:rPr>
          <w:iCs/>
          <w:i/>
        </w:rPr>
        <w:t xml:space="preserve">过去</w:t>
      </w:r>
      <w:r>
        <w:t xml:space="preserve">到</w:t>
      </w:r>
      <w:r>
        <w:rPr>
          <w:iCs/>
          <w:i/>
        </w:rPr>
        <w:t xml:space="preserve">现在</w:t>
      </w:r>
      <w:r>
        <w:t xml:space="preserve">的直接传递中」，这是一个好的开始。这也是近代社会流动文献的普遍特征。</w:t>
      </w:r>
    </w:p>
    <w:p>
      <w:pPr>
        <w:pStyle w:val="BodyText"/>
      </w:pPr>
      <w:r>
        <w:t xml:space="preserve">那么在这幅简单的图表中，代际流动是什么呢？它涉及不同个体的职业轨迹之间的特殊关联：比较父母和子女的职业位置。父母的职业采样于一个特定的时点（比如在著名的1962年OCG数据中，是在孩子16岁的时候）或来自一道一般性的问题，比如「你父亲的职业是什么？」（两题在一定程度上可能会产生不同的答案。）［研究者］迫切地收集数据往往意味着这种设计中代际联系的经过时间（elapsed time）在一个样本中可能会存在相当大的差异。但大多数情况下，我们的流动性问题只是源于想知道子女是否在某种意义上比父母过得更好，并通过比较父母在某一时刻的职业（或阶层位置）和子女在另一时刻的职业（或阶层位置）来测量这种差异。如同许多这类度量一样，指标和概念之间存在着微妙的平衡，前者有时会被误认为是后者，收入度量和满意度概念之间就经常如此。</w:t>
      </w:r>
    </w:p>
    <w:p>
      <w:pPr>
        <w:pStyle w:val="BodyText"/>
      </w:pPr>
      <w:r>
        <w:t xml:space="preserve">通过在这个更大的背景下介绍流动性的概念，我想强调的是，流动问题只是关于职业过程诸多问题中的一个。流动性调查在社会科学中的重要性来自于自由主义社会中机会平等问题在政治上的重要性，而不是由于流动性占据了「如何理解职业过程」这一问题的中心地位。如果我们的目标是理解整个系统随时间的演化，就没有什么理由认为流动问题是正确的出发点，甚至没有理由认为流动是待解释的主要系统结果问题。正如我的图很清楚地表明，与或多或少从外部流入这个系统的结构性变化相比，流动过程许多方面的影响都显得黯然失色：人口变化、技术变化、分工的自主重组。一定程度的代际流动很可能从各种外生变化的组合中产生，事实上也可能反哺这些变化。</w:t>
      </w:r>
    </w:p>
    <w:bookmarkEnd w:id="31"/>
    <w:bookmarkStart w:id="32" w:name="关于流动的三个问题"/>
    <w:p>
      <w:pPr>
        <w:pStyle w:val="Heading1"/>
      </w:pPr>
      <w:r>
        <w:t xml:space="preserve">关于流动的三个问题</w:t>
      </w:r>
    </w:p>
    <w:p>
      <w:pPr>
        <w:pStyle w:val="FirstParagraph"/>
      </w:pPr>
      <w:r>
        <w:t xml:space="preserve">我们可以就流动的概念提出各种详细的问题。我在这里将考虑三个。第一个问题较简略，另外两个更详细。</w:t>
      </w:r>
    </w:p>
    <w:p>
      <w:pPr>
        <w:pStyle w:val="BodyText"/>
      </w:pPr>
      <w:r>
        <w:t xml:space="preserve">我只简略提一下第一个问题，该问题在流动文献的「阶层」（class）方面众所周知。我描述的社会结构维度「平面」的现实性和持久性确实存在问题。最重要的是，这个维度的职业版本也没有定义一套「更稳固的」社会结构，在阶层类别被证明是不稳定的或假象的情况下，［该结构］可以作为后备。职业的历史表明，将详细的职业关联起来，哪怕是在一段仅仅为期30年的时间中——这在我们的流动性概念中很必要——都相当可疑。在许多情况下，将50年以上的职业联系起来几乎不可能，玛戈·安德森（Margo Anderson Conk 1980）、阿兰·德罗谢尔（Desrosières and Thévenot 1988）等人的工作就很好地证明了这一点。不仅命名和分类的连续性存在问题，职业的任务特性（task identity）也有问题，这些任务是在有争议的或官僚分工中关系性地建立起来的，而不是来自抽象或功能主义的一些职业词典。随着这种分工的变化，位于其中的职业意义也会发生变化，即使它们的名称不变。（例如，「秘书」在1895年和1925年的含义完全不同。因此，范鲁文等人［van Leeuwen 2002］的「历史」职业代码仅仅具有名义上的连续性。不幸的是，这一事实并不妨碍它们被广泛使用。）最后，除专业职业（profession）外，几乎没有证据表明任何职业在人口学意义上存在连续性——由相同的人长期组成的群体这一「现实」。从人口学角度看，医生是一种职业；相比之下，食品柜台工人不是一种职业，而是一个生命阶段（life stage）。</w:t>
      </w:r>
    </w:p>
    <w:p>
      <w:pPr>
        <w:pStyle w:val="BodyText"/>
      </w:pPr>
      <w:r>
        <w:t xml:space="preserve">简而言之，关于我们如何构筑流动问题的一个初步问题，涉及到我们结构——将父母和子女定位在其中的结构——的持久性。在这些结构发生变化的情况下，如何将流动理论化，这一点并不清楚。传统的解决方案（比如PUMS = Public Use Microdata Sample）是将小单位聚合到更稳定的单位。但这种做法其实或多或少回避了该问题。</w:t>
      </w:r>
    </w:p>
    <w:bookmarkEnd w:id="32"/>
    <w:bookmarkStart w:id="38" w:name="流动和生涯"/>
    <w:p>
      <w:pPr>
        <w:pStyle w:val="Heading1"/>
      </w:pPr>
      <w:r>
        <w:t xml:space="preserve">流动和生涯</w:t>
      </w:r>
    </w:p>
    <w:p>
      <w:pPr>
        <w:pStyle w:val="FirstParagraph"/>
      </w:pPr>
      <w:r>
        <w:t xml:space="preserve">第二个关于流动不太令人熟悉的问题涉及职业生涯（careers）。为什么我们评估流动的方式采用父母生涯中的一个点和子女生涯中的一个点？尤其考虑到这样做迫使我们选择使用哪些点；是否坚持使用每种生涯业中相同的点（不管这意味着什么），等等？为什么不使用整个职业生涯来概念化流动呢？</w:t>
      </w:r>
    </w:p>
    <w:p>
      <w:pPr>
        <w:pStyle w:val="BodyText"/>
      </w:pPr>
      <w:r>
        <w:t xml:space="preserve">对于我们这些研究内部劳动力市场（internal labor markets = ILMs）的人来说，生涯似乎是一个很自然的分析单位。与古典流动文献中隐含的「完全自由运动」的理想状态不同，ILM文献设法处理的是系统，具有结构的系统。结构使我们预期某些模式。因此，关注职业生涯反映了ILM和类-ILM系统中「直接约束」和「形式结构」的重要性。</w:t>
      </w:r>
    </w:p>
    <w:p>
      <w:pPr>
        <w:pStyle w:val="BodyText"/>
      </w:pPr>
      <w:r>
        <w:t xml:space="preserve">可以肯定的是，在极端情况下，流动可以简单地由空缺的结构（structure of vacancies）决定。例如，大学运动队教练（Smith and Abbott 1983；Abbott and Smith 1984）在结构严密的市场中工作，可识别的职位由独特的个人担任。在这里，流动完全取决于职位空缺；用个人属性来建立模型忽略了系统的核心事实。事实上，即使从生涯角度来处理这一问题也可能是种错误。这样的系统最好通过内部的空缺链来描述。</w:t>
      </w:r>
    </w:p>
    <w:p>
      <w:pPr>
        <w:pStyle w:val="BodyText"/>
      </w:pPr>
      <w:r>
        <w:t xml:space="preserve">在限制稍小的系统中，空缺一点点出现：不是像通常的全社会流动模式那样出现巨大的自由阶层，而是比较少量。例如，在十九世纪与二十世纪的精神病院主管中（Abbott 1990），有一种比较松散的结构，颇像谢尔比·斯图曼（Shelby Stewman）的文丘里系统（Stewman and Konda 1983）。在这里，人们只能估计各种人口学参数，并从中外推到每一时期的地位转换等待时间。这是一个主要由外生因素驱动的职业系统的典型例子。因为助理医师生活的核心事实是他们的晋升率迅速下降。这是由于随着时间的推移，各州选择扩大现有的医院规模（为更多的助理医师腾出空间）而不是建立新的医院（为主管创造了更多的职位）。如果人们试图估计某位主管为「他的助手」（在其他地方）找到主管职位的能力——这是典型的庇护式代际流动问题（sponsored intergenerational mobility）——就会发现，虽然这种效应存在（如纽约和马萨诸塞州的个体层面数据所示），但大规模的结构变化会使其完全失色。</w:t>
      </w:r>
    </w:p>
    <w:p>
      <w:pPr>
        <w:pStyle w:val="BodyText"/>
      </w:pPr>
      <w:r>
        <w:t xml:space="preserve">在结构较为松散的ILMs中，由于相对而言没有结构性约束，因此我们很自然地会问关于典型生涯模式的问题。通常，设计ILMs的目的是为了包含生涯模式。但同样，个人也往往更喜欢在组织间流动。因此生涯究竟在多大程度上采取了「预先设计」的形式就成了一个自然的经验性问题。是否真的存在晋升和晋级阶梯或职业发展的特征模式？这不仅对个人来说是一道逻辑问题（如见Abbott and Hrycak 1990），而且对那些通过［与其他职业的］局部竞争发展起来的职业来说也是一道逻辑问题（如Abbott 1991）。那么，在像ILMs这样的受约束系统中，生涯或轨迹似乎是思考流动性的自然分析单位。而选择的研究方法也反映了这个自然单位。如果我们以轨迹的方式思考——每一个体单位形成的轨迹，但这些轨迹可能受到职业和劳动力市场结构的约束——我们将会选择寻找这些生涯的整体序列模式（overall sequential patterns）的。而序列分析和多维标度技术（用在了上文引用的研究中），很坦率的说，都用于寻找有序规律性，而不是寻找根据理论构想出的因果结构的技术。可以肯定的是，利奥·古德曼（Leo Goodman 1996）已经优雅地表明，某些形式的标度和对数线性模型在数学原理上存在着深刻的关系——也就是说，某些类型的模式识别方法与他的关联模型（association model）类型密切相联。这种联系也能通过一项历史事实很好地表明，那就是在最早应用比例调整算法（proportional adjustment algorithms）来估计对数线性模型时，人们曾试图通过固定边际分布（fixed marginals）的方式，来拟合表内交互作用，从而使规律性更加明显（Mosteller 1968，转引自Bishop, Fienberg and Holland 1975：100）。但是，序列分析利用的是一种完全不同的技术语汇。莱文斯坦式的比对算法［Levenshteinian alignment algorithms］（如Abbott and Hrycak 1990所示）是用以产生距离数据的动态规划技术（dynamic programs）。蒙特卡洛马尔科夫链序列算法（如Abbott and Barman 1997中用的）是迭代结构，用以最大化选定的局部相似性。两者都不涉及古德曼方法所要处理的那种交叉分类数据。</w:t>
      </w:r>
    </w:p>
    <w:p>
      <w:pPr>
        <w:pStyle w:val="BodyText"/>
      </w:pPr>
      <w:r>
        <w:t xml:space="preserve">因此，关于ILMs的文献既表现出对职业生涯的理论兴趣，也表现出对方法论的兴趣。相比之下，在代际流动和一般的代内流动领域，对整个生涯作为更大的模式本身的研究自1960年代中期往后基本上从社会学中消失了。在整个早期阶段，对流动的研究一般既考虑个体的过渡，也考虑整个职业生涯。例如Davidson and Anderson（1937）、Form and Miller（1949）、Palmer（1954）、Parnes（1954）和Wilensky（1960，1961）。在所有这些工作中，研究者不仅分析了个人工作转换和更替，而且分析了个人的雇主和职业任期（在帕尔默的案例中，甚至还分析了这些方面的联合数据），以及生命历程中工作和职业任期的模式。然而1965年以后，这种对整个职业生涯的关注消失了。雷切尔·罗森菲尔德（Rachel Rosenfeld）1992年在《年度评论》（</w:t>
      </w:r>
      <w:r>
        <w:rPr>
          <w:iCs/>
          <w:i/>
        </w:rPr>
        <w:t xml:space="preserve">Annual Review</w:t>
      </w:r>
      <w:r>
        <w:t xml:space="preserve">）上发表的关于工作转换和职业的精彩评论回顾了从1960年代末到1990年代初的几十项研究。但只有少数人研究了整个职业生涯。绝大多数研究的是特定变量对各种类型的工作转变率的影响——在某个时间点的特定转换或风险。就图3而言，这等于把重点放在代表那些不动的箭头段和点质量上（point masses）。</w:t>
      </w:r>
    </w:p>
    <w:p>
      <w:pPr>
        <w:pStyle w:val="BodyText"/>
      </w:pPr>
      <w:r>
        <w:t xml:space="preserve">为什么我们要从点与点之间的联系来分析代际流动，而不是从整个职业生涯的某个方面来比较呢？反思表明，选择点到点的测量方法，既有一些偶然的历史原因，也源自生涯概念的一些持久问题，使得这种替代方法的吸引力降低。这些原因加在一起，构成了解释我们今天为何在此的路径依赖论点。</w:t>
      </w:r>
    </w:p>
    <w:p>
      <w:pPr>
        <w:pStyle w:val="BodyText"/>
      </w:pPr>
      <w:r>
        <w:t xml:space="preserve">最明显的偶然性论点与方法有关。正如许多人指出的那样，过去四分之一世纪的流动研究建立在新方法之上。雷蒙德·布顿（Raymond Boudon）1973年的关于社会流动数学结构的书——报告了马尔可夫方法在当时的技术水平，这一取径至少隐含地考虑了整个职业生涯和职业间的过渡——描述了一份甚至在布顿写作时就已经衰落的文献，尽管在某种程度上这一文献通过阿格·瑟伦森（Aage Sørensen 1974，1984）的工作得到了延续。即使是斯皮勒曼（Seymour Spilerman）1977年著名的职业生涯论文，其实也不是关于整体生涯结构，而是关于收入轨迹的。经济学家们会以职业研究为幌子，转而对终身收入这一话题进行彻底的探讨。但关于流动的主要新社会学文献把父子点到点的转变作为其问题，它使用古德曼对数线性模型进行研究，该模型由威斯康星大学的豪瑟及其同事带入流动研究（Robert Hauser et al. 1975），后来由布雷格（Ronald Breiger 1981）、豪特（Michael Hout 1984）和其他应用邓肯均一关联模型（uniform association model，1979）的人修正为包括各种标尺变量。在后来的几年里，出现了事件史方法和对各种特定状态变化的风险率的详细关注。所有这些都意味着关注职业的某些时刻：在代际情况下关注父子之间的点到点转换概率，或在个人生涯情况下关注特定点的风险函数。在生物学和计算机科学之外，将整个生涯作为研究兴趣的序列算法可能并不为人知，直到1983年才出现了第一篇综述（出自Sankoff and Kruskal）。</w:t>
      </w:r>
    </w:p>
    <w:p>
      <w:pPr>
        <w:pStyle w:val="BodyText"/>
      </w:pPr>
      <w:r>
        <w:t xml:space="preserve">因此，偏离整体职业生涯研究的第一个原因可能是新方法的出现。第二体原因与数据有关。在PSID和NLS数据集的设计中，尽管仍然关注整体职业生涯——起码隐含地关注——但这两个数据集的设计都没有真正明确地围绕着理解整个职业生涯的问题。最初的NLS研究（针对成年男性和女性）并没有获得完整的回顾性生涯数据，针对年轻男性的研究在追踪他们15年后就停止了，而1979年的NLSY研究到目前为止只涵盖了其研究对象的部分工作生活历程。只有最初的年轻女性研究覆盖了大部分的工作生活历程。相比之下，PSID收集了数据，但其中工作、雇主和职业数据的问题众所周知。同时，生涯数据也存在着不可忽视的内在实际问题。整体生涯数据要么是回溯性的（因此会出现记忆错误、堆积等问题），要么需要非常长的时间来创建。对于面临如此多类型的删失／截尾（censored）的长期过程，也不清楚合适的抽样框架是什么。生涯数据也很容易受到我前面提到的问题——分类类别的变化——的影响，其程度甚至比父母和子女的点对点数据还要大。</w:t>
      </w:r>
      <w:r>
        <w:rPr>
          <w:rStyle w:val="FootnoteReference"/>
        </w:rPr>
        <w:footnoteReference w:id="33"/>
      </w:r>
    </w:p>
    <w:p>
      <w:pPr>
        <w:pStyle w:val="BodyText"/>
      </w:pPr>
      <w:r>
        <w:t xml:space="preserve">另一个反对用「全生涯」取径（whole careers approach）研究流动的持久压力来自政治。一个自由民主国家会要求其社会科学家提供［关于社会的］各种数字，其中之一是对「我们是否真的拥有平等机会」进行评级。如果公民社会和国家愿意的话，他们可以根据这个评级采取行动，创造（或减少）社会和经济民主。类似「我们必须等待，看看人们的生活结果如何」这样的答案是不可接受的。政治体系希望得到一个关于「现在」的数字，这个数字可以被辩论，并以某种方式被政策改变。因此，学术文献通过成堆的合成队列来讨论生涯，比如布劳和邓肯（［1967］2016）就是如此，以便向资助他们研究的政治家展示一些图景。即使我们可以肯定地知道，没有任何个人会拥有像合成队列所暗示的那些职业生涯，但合成生涯至少为政治体系提供了讨论和政策的基础。</w:t>
      </w:r>
    </w:p>
    <w:p>
      <w:pPr>
        <w:pStyle w:val="BodyText"/>
      </w:pPr>
      <w:r>
        <w:t xml:space="preserve">这些力量造成的结果——────有些是历史的意外，有些是研究全生涯过程中持久的实际和政治上的困难——在很大程度上把完整生涯研究从社会流动的议程中删除了。其结果又是，我们对各种工作转换（较少是职业转换）在特定时期如何受到许多变量的影响有了大量的了解。我们对这些效应的细节了如指掌，甚至在一些研究中，我们对这些效应的了解建立在十年或更长的时间尺度上。但我们并没有在真正意义上了解这些效应在集合成一段特殊的工作生活历程时如何被修改，我们也不太了解这些效应在职业生涯和生命历程中的累积影响。</w:t>
      </w:r>
    </w:p>
    <w:p>
      <w:pPr>
        <w:pStyle w:val="BodyText"/>
      </w:pPr>
      <w:r>
        <w:t xml:space="preserve">例如，我们实际上甚至不知道典型的工作生命历程（work life course）会持续多久。我们还没有真正尝试过收集这样的数据。但这里还存在一个概念上的困难。我们之所以缺乏这样的数字，部分原因是就业生涯的起点和终点已经变得极为其模糊。在我们的世界中，几乎有一半的高中毕业生都在参加工作，他们在校期间平均每周工作二十小时；精英大学毕业生在离开劳动力队伍进行全日制研究生学习之前，经常会从事一两年或多或少的随机全职工作；而退休则意味着一种滑脱，从主要劳动力队伍、长期工作中通过各种小活计逐步滑向最终的永久脱离。并不存在从学校到工作的过渡，也真的没有退休的时间点，所以现在还不清楚如何看待典型的工作生涯的长短。</w:t>
      </w:r>
      <w:r>
        <w:rPr>
          <w:rStyle w:val="FootnoteReference"/>
        </w:rPr>
        <w:footnoteReference w:id="34"/>
      </w:r>
    </w:p>
    <w:p>
      <w:pPr>
        <w:pStyle w:val="BodyText"/>
      </w:pPr>
      <w:r>
        <w:t xml:space="preserve">我们对生活中过渡的安排也没有什么感觉。像Palmer（1954）和Wilensky（1960）这样的较早的研究表明，一旦我们摒弃了将职业聚集成较大的组别或类别，或放弃将职业映射到一个简单的声望等级上，劳动力中就会出现大量的小规模工作转移——在雇主、职业或两者之间。几乎所有的Wilensky（1960）的受访者（蓝领和低层白领雇员的重点样本）都为一个雇主工作了至少十四年，但他们中的许多人都曾为这一个雇主做过好几份不同的工作（职业）。Palmer（1954）的样本更具代表性（虽然全部来自城市），他仍然发现在那些十年内没有更换雇主的男子中，超过10%的对象在雇主那里换过工作种类。</w:t>
      </w:r>
    </w:p>
    <w:p>
      <w:pPr>
        <w:pStyle w:val="BodyText"/>
      </w:pPr>
      <w:r>
        <w:t xml:space="preserve">现在，这一点很重要，因为当我们通过交叉分类一个点测量——父母职业和子女职业的点测量——来研究流动性时，我们是在某个特定的点上对每段生涯进行抽样。而我们期望这个样本能够抓住流动过程中的重要部分。但是，我们对该程序的信心来自「工作历史具有相对稳定的形象」［这一假设］——父母「拥有」一种职业和子女「拥有」一种职业的想法——建立在了我们忽略许多低层次变化的基础上。同样引人注目的是，虽然有许多认真的尝试调查了「工作任期」的数字（指在一个雇主那里的持续时间），但很少有研究（Carey 1988和Maguire 1993是罕见的例外）试图讨论职业任期，不管有没有更换雇主。例如，关于当前时期下工作任期潜在变短的讨论（见Neumark 2000的回顾）完全是建立在雇主任期而非职业任期的基础上，部分原因正是因为在CPS和PSID这两份数据中，雇主变化数据比职业变化数据更可靠，而这两个数据集是该文献中使用的主要数据集。</w:t>
      </w:r>
    </w:p>
    <w:p>
      <w:pPr>
        <w:pStyle w:val="BodyText"/>
      </w:pPr>
      <w:r>
        <w:t xml:space="preserve">因此，我们看到有一些很简单的问题——一个人在职业生涯中到底会有多少次工作和职业的变化？工作和职业的变化在实际的工作生活过程中如何相互影响？工作生活历程一般会持续多久？——我们对这些问题的回答并不比四分之一世纪前接近多少。我们忽视这些问题，因为我们不用生涯进行思考。同时我们也看到，即便我们真的关注生涯，在回答这些问题时也存在着一些深刻的实际困难。</w:t>
      </w:r>
    </w:p>
    <w:p>
      <w:pPr>
        <w:pStyle w:val="BodyText"/>
      </w:pPr>
      <w:r>
        <w:t xml:space="preserve">然而，不仅存在这些实践上的困境，而且还有一些非常深刻的理论困境，这些困境与生涯的时间架构和生涯的测量方式有关。可以肯定的是，这些问题对于研究流动问题的「点到点框架」来说同样紧迫（尽管方式不同），但对于生涯模式来说，这些问题更容易看到。此类问题有两个。</w:t>
      </w:r>
    </w:p>
    <w:p>
      <w:pPr>
        <w:pStyle w:val="BodyText"/>
      </w:pPr>
      <w:r>
        <w:t xml:space="preserve">第一个问题是关于职业的相对节奏和我们可以称之为「劳动力市场制度」（labor market regimes）的问题。我们大多数人认为，最终推动工作生活流动的过程是外生于它们的力量：需求侧的事物，比如技术变化和劳动过程的变化；供给侧的事物，比如移民和教育的变化。我们可以认为这些从整体上构成了一种叫做劳动力市场制度的事物：技术状态、劳动分工、教育水平、劳动力供给水平等等。按照我们通常的想象，生涯主要由这个制度中的力量塑造。</w:t>
      </w:r>
    </w:p>
    <w:p>
      <w:pPr>
        <w:pStyle w:val="BodyText"/>
      </w:pPr>
      <w:r>
        <w:t xml:space="preserve">请注意，我们认为这些力量在某种意义上比职业「更快」。典型的就业生涯大约持续四十年（如果我们加上前面提到的模糊边缘，可能接近五十年）。四十年的职业生涯不仅会穿越一些职业定义的过渡，而且还会穿越一个社会整体劳动力市场制度的至少一次过渡，更不用说技术或劳动过程等众多的小过渡，它们在十年的范围内很容易发生变化。所有的生涯都会穿越时间界限，看到塑造职业的社会力量种类在边界发生了根本性的变化。正因为如此，我们并不清楚为什么应该或如何从生涯的角度来概念化流动。</w:t>
      </w:r>
    </w:p>
    <w:p>
      <w:pPr>
        <w:pStyle w:val="BodyText"/>
      </w:pPr>
      <w:r>
        <w:t xml:space="preserve">以美国为例，在1920年代，随着大规模移民的结束、社会驯服了超快速的雇员流动以及大规模文职劳动力的到来，就业制度发生了重大转变。1930年代和40年代是这一时期与战后体制之间的漫长过渡期；大规模的劳工动乱最终导向劳动关系的新常规化，随后在1940年代［全国］动员了近四分之一的劳动力参军。战后，在大约三十年的时间里，［劳动力队伍］都或多或少地保持了稳定；那是一个遍布了大雇主和模式谈判（pattern bargaining）的年代。随着房屋所有权和私人养老金，现代退休制度的出现，以及美国历史上最低水平的工作流动，这个年代的人看到了「财富特许权」的巨大延伸。但从1975年开始，又出现了另一种劳动力制度：私营部门集体协商遭到破坏，大规模移民的恢复，企业之间和企业内部分包制的恢复，灵活的小组织的兴起，以及其变幻莫测的劳动政策。</w:t>
      </w:r>
    </w:p>
    <w:p>
      <w:pPr>
        <w:pStyle w:val="BodyText"/>
      </w:pPr>
      <w:r>
        <w:t xml:space="preserve">我们只要重述这些事实，就可以看出它们所提出的关于生涯作为概念化和测量流动的理论基础存在问题。在二十世纪，没有一名美国工人在一个看起来很像他或她起始的劳动力队伍中完成了他或她的职业生涯；二战一代中非常少的一部分人也许是唯一的例外。因此，实际的「结果」——诸如退休时的总体财富水平这样的测量标准——更多的与相对于制度变化的工作生活历程的时间点有关，而不是其他什么。因此，难怪我们难以想象人们在合成队列的形式化想象之外真的存在可理解的生涯。</w:t>
      </w:r>
    </w:p>
    <w:p>
      <w:pPr>
        <w:pStyle w:val="BodyText"/>
      </w:pPr>
      <w:r>
        <w:t xml:space="preserve">我将在下面有更多的论述关于生涯的外生冲击问题。但在这里，我想谈谈在思考职业问题时——实际上在任何关于流动性的思考中——的第二个理论上的复杂问题。这与我们如何思考结果有关。流动性文献的范式提了一道简单的问题：「当我们知道了父母的情况以后，孩子的是怎样呢？」 这个问题背后的规范性框架，正如很多人所论证的那样，是机会平等（equality of opportunity）的理念，自由主义国家的公民试图通过这个理念来同时调和相信「贤能主义／绩优主义」和「平等」。（对这个两难问题的精彩阐述，以及对美国与法国分层研究的有趣分析，见Cuin 1993）。但我在这里关注的并不是我们的流动意识形态在理论结构方面的妥协，而是它们所包含的简单时间结构。我们究竟认为父母或子女的成就发生在何时？在流动研究中，选择两个生命中的特定时刻来代表这种成一直是传统。但为什么不选择时间段呢？为什么不选择整个职业生涯？如果我们真的挑了这些时刻，为什么要选择目前选择的时刻呢？</w:t>
      </w:r>
    </w:p>
    <w:p>
      <w:pPr>
        <w:pStyle w:val="BodyText"/>
      </w:pPr>
      <w:r>
        <w:t xml:space="preserve">对以上问题的简单答案是，我们在一个时间点上测量父母的资源，因为这比测量一个时间段内的资源更容易、更稳定。而我们测量父母的资源是在他们孩子出生或进入劳动力市场的前后（而不是如在生命结束的时候），因为那是「因果效应发生的时刻」，是我们认为「父母是否拥有资源」很重要的时候。另外，我们还可以论证，如果我们在孩子进入劳动力市场时测量父母的资源，那么从这时起（通常是30多岁），这些资源很可能相当稳定，至少在整个社会规模的相对位置上是如此。</w:t>
      </w:r>
      <w:r>
        <w:rPr>
          <w:rStyle w:val="FootnoteReference"/>
        </w:rPr>
        <w:footnoteReference w:id="35"/>
      </w:r>
    </w:p>
    <w:p>
      <w:pPr>
        <w:pStyle w:val="BodyText"/>
      </w:pPr>
      <w:r>
        <w:t xml:space="preserve">但是，如果我们把流动故事中的主角看作是纯粹的理性行动者，那么父母对子女成就的投资实际上就涉及到父母对未来收入的预测，因为他们对当前资源分配的计算涉及到与自己当前分配方式不同的其他情景下的未来效用流。根据这样的观点，我们并不把流动性想象成一种宝贵的物质传承（Yamaguchi［1983］所说的「广义资源」），因为我们假定父母总是希望自己的孩子成功；而是把流动想象成父母在自己效用计算中所做一串决定的后果。</w:t>
      </w:r>
      <w:r>
        <w:rPr>
          <w:rStyle w:val="FootnoteReference"/>
        </w:rPr>
        <w:footnoteReference w:id="36"/>
      </w:r>
      <w:r>
        <w:t xml:space="preserve">我提出这个例子的目的并不是要提出另一种流动的概念，而仅仅是想说明，在一些流动的概念下，用一个指向当前时间某一点的单值函数来衡量父母的地位是不够的。在我的例子中，父母将他们在任何特定时刻的地位视为其未来预测地位的一个组成部分，并适当地进行折现以产生一个现值。事实上，有一些经济学文献植根于这样的终身收入预测，最熟悉的与未来情景不确定时的职业和教育计划的选择有关（例如，Altonji 1993；Makepeace 1996）。因此，存在一份关于代际收入流动性的文献也就不足为奇了，其中有些相对是描述性的，如Atkinson、Maynard和Trinder（1983），有些则更形式化一些，如Creedy（1988）。克里迪关于终身收入和不平等的经典论文（John Creedy 1991）提出了终身收入概念的一系列困难，但他指出：</w:t>
      </w:r>
    </w:p>
    <w:p>
      <w:pPr>
        <w:pStyle w:val="BlockText"/>
      </w:pPr>
      <w:r>
        <w:t xml:space="preserve">必须认识到，就许多目的而言，短期度量的价值微乎其微（如果真有的话）；除非采用一个较长的时间段框架，否则对此进行比较会显得相当虚假。(Creedy 1991：57)</w:t>
      </w:r>
    </w:p>
    <w:p>
      <w:pPr>
        <w:pStyle w:val="FirstParagraph"/>
      </w:pPr>
      <w:r>
        <w:t xml:space="preserve">所有这些都表明，我们应该从终身、生涯类型的角度来考虑流动性问题，比如说从父母一生中的已实现收入与子女一生中的已实现收入相比。但与此同时，克里迪对一段时间段内的度量感到绝望，他的理由来自技术问题，与上面讨论的问题一致。</w:t>
      </w:r>
    </w:p>
    <w:p>
      <w:pPr>
        <w:pStyle w:val="BodyText"/>
      </w:pPr>
      <w:r>
        <w:t xml:space="preserve">以「点到点的方式」来思考流动所产生的问题，在生命历程中关于工作任期（job tenures）及其持续时间那少量但诱人的文献中得到了强调。这份文献暗示了点到点测量可能涉及一些复杂的抽样偏差。这类文献中的经典论文显示（Hall 1982中讨论了1978年的数据），到60岁时，大约40%的男性会在某个时候从事一份至少持续20年的工作。男性一生可能会从事11份工作，其中7份在30岁之前。对于40岁以上的所有年龄段的人来说，大约40%的劳动者最终将在他们目前所从事的工作中获得二十年的任期。这些数字在新自由主义经济中可能发生了变化</w:t>
      </w:r>
      <w:r>
        <w:rPr>
          <w:rStyle w:val="FootnoteReference"/>
        </w:rPr>
        <w:footnoteReference w:id="37"/>
      </w:r>
      <w:r>
        <w:t xml:space="preserve">，但它们凸显了一项长期存在的现实，即工作间的转换在生命历程中的分布很不均匀，虽然大多数劳动者最终会在某项工作中长期留任，但他们最有可能在工作生命历程的后期从事这份工作。这些事实意味着，理想情况下，如果我们必须用点到点的测量方法来检验流动性，我们更希望在父母和子女的长期工作（long-stay jobs）期间，对此情况进行抽样调查；从政治角度来看，重要的是年轻一代的终点，而不是起点。但实际上我们几乎没有能力保证在长期工作中［进行正确］抽样，而且在实践中，我们往往在父母和子女工的作史中较早的时间点进行抽样，可能在子女的工作史中抽样更早一些。因为在不同地区的分工中，工作史的结构很可能存在系统性的差异（很多终身收入较高的职业在开始的时候，由于所需教育的原因，初期收入较低的时间较长），这样的测量方法很可能会诱发偏差。</w:t>
      </w:r>
    </w:p>
    <w:p>
      <w:pPr>
        <w:pStyle w:val="BodyText"/>
      </w:pPr>
      <w:r>
        <w:t xml:space="preserve">所有这些都表明，在我们决定何时以及如何测量流动的时候，涉及到相当复杂的问题：在一个点上还是在一个区间内，在开始还是在结束时，使用折现还是不使用折现（就像最初在健康评估文献中所做的那样），等等。这里不是试图对我们所有流动度量的时间性进行一般性分析的地方。但是，通过提出在点概念和生涯概念中所涉及的一些时间性问题，我希望能使我们敏感地意识到其中的困难程度（关于结果测量的时间性的更广泛的讨论可以在Abbott［2005］中找到）。但请注意，至少在目前，我们做或不做都会陷入两难。如果我们不看区间测量而只看点测量，我们就会引入各种与工作生活历程的结构、职业类别的变化等有关的任意人为效应。如果我们真的要看区间测量，那么就不得不直接将［工作］类别的变化理论化（或者转到收入这种稳定性更强的度量方式），并提出复杂结构（整个生涯）之间的 「流动」概念，或者选择一些更简单但仍使用区间概念的测量方式，比如持续时间最长的职业。每种选择都有自己的问题。</w:t>
      </w:r>
    </w:p>
    <w:bookmarkEnd w:id="38"/>
    <w:bookmarkStart w:id="43" w:name="外生性"/>
    <w:p>
      <w:pPr>
        <w:pStyle w:val="Heading1"/>
      </w:pPr>
      <w:r>
        <w:t xml:space="preserve">外生性</w:t>
      </w:r>
    </w:p>
    <w:p>
      <w:pPr>
        <w:pStyle w:val="FirstParagraph"/>
      </w:pPr>
      <w:r>
        <w:t xml:space="preserve">正如我前面所说，代际流动范式的核心假设之一，是个体「工作生命」的结果——无论如何或无论何时被测量——一般发生在我们通常认为的「更大的历史力量」的外生框架内。这些都是像技术和车间分工这样的事物。正如我所指出的，我们做了两种假设：它们是外生的，而且在某种意义上，它们的变化比个人生涯的变化快。正由于这两个假设，使人们在阅读职业社会学的研究时产生了一种普遍的感觉，即工作世界由一组大体上原子化的个人组成，他们被各种历史力量推来推去，而自己无从控制。</w:t>
      </w:r>
    </w:p>
    <w:p>
      <w:pPr>
        <w:pStyle w:val="BodyText"/>
      </w:pPr>
      <w:r>
        <w:t xml:space="preserve">我在上文提出了一些关于「生涯的时间性」和「更大的力量」的问题。让我继续论证，这些「更大的历史力量」并不像它们看上去那样外生。换个角度看，虽然单个生涯看起来是一根弱小的芦苇，在变化的风中吹动；但如果从整体上看，劳动力生涯的「质量」实际上本身就具有「更大历史力量」的特征。在任何时候，劳动力都会呈现出一种被刻画或被编码的群体特征：年龄、性别、教育、职业培训等等。这一群体特性的变化不会很快。技术和其他这样的力量必须与之合作——例如，1960年代中期的社区大学被一个对某些种类的熟练劳动力感到饥渴的商业社群所占领，我们可以在这一过程里看到该事实。</w:t>
      </w:r>
    </w:p>
    <w:p>
      <w:pPr>
        <w:pStyle w:val="BodyText"/>
      </w:pPr>
      <w:r>
        <w:t xml:space="preserve">把劳动力作为一个整体，并应该把它本身看成是一支「庞大历史力量」。这一观点首先来自它的历史人口学。由于典型的工作生涯持续四十年到五十年，在稳定的状态下，劳动力在这一时期内会自我更新一次；也就是说，它的年更新率约为2%到2.5%。当然在现实中，二十世纪的美国劳动力各年龄段的劳动参与率发生了稳定的变化，同时生育率和移民模式的转变也使面临这些变化同期群的规模不规则起来。因此，劳动力的实际年度变化只近似了这个稳定的人口猜测值。根据1940年至1960年（美国1963年人口普查，表2）这一移民最少时期的人口普查数字计算，1950年工作的人中有25.5%是自1940年以来新加入的劳动力。新工人中只有不到一半（43%）是净增长；其他57%是替代退休或死亡的劳动者。在1960年，有27%的劳动者是自1950年以来的新人，其中51%代表净增长，49%代表替换人口。按20年的数字计算，1960年中47%的劳动力是1940年以来的新劳动者，净增长和替换的比例各占一半。然而站在另一个角度看，1940年劳动力中70%的劳动者在1960年仍在其中。那么粗略地讲，如果我们忽略移民（移民中劳动者的集中度很高），美国的劳动力队伍每年获得约2.5%的新人，由净增长和替换人口平分。这些新入职者大多进入高流动的青年劳动力队伍。</w:t>
      </w:r>
      <w:r>
        <w:rPr>
          <w:rStyle w:val="FootnoteReference"/>
        </w:rPr>
        <w:footnoteReference w:id="39"/>
      </w:r>
    </w:p>
    <w:p>
      <w:pPr>
        <w:pStyle w:val="BodyText"/>
      </w:pPr>
      <w:r>
        <w:t xml:space="preserve">因此，这些数字是对劳动力流动的最低估计。然而，由于这一时期劳动力的绝大部分来自于劳动参与率极高的年龄段的男性，因此第二个因素的低估空间并不大。对男性而言，五年一次的更替是单调的（随着年龄越大，由高度正向变为高度负向）；到40-44岁时，数字变为负数。对于女性来说，在30-34岁时有一个短暂的负值峰值，但这一时期女性进入劳动力队伍，使女性数字一直保持正值，直到55-59岁的五年期。</w:t>
      </w:r>
    </w:p>
    <w:p>
      <w:pPr>
        <w:pStyle w:val="BodyText"/>
      </w:pPr>
      <w:r>
        <w:t xml:space="preserve">这是个比看上去缓慢的更替过程。正如我前面所指出的，我们从工作生命历程的任期分布中知道，20多岁的就业是极不稳定的。个人一生中可能会有10到11份工作，而30岁时会更换6份或更多。绝大多数人进入劳动力队伍（即使考虑到20世纪几乎所有年龄段的女性劳动力参与率都在迅速上升）的时间都发生在早年，这时大多数劳动者从事的是技术含量相对较低、流动率较高的工作。从事技术含量相对较高工作的劳动者往往年龄较大。即使在高技术就业中，设计和架构功能也被身处稳定中后期的员工握在手中，即使年轻工人知道最新的编程窍门和技术方案。</w:t>
      </w:r>
    </w:p>
    <w:p>
      <w:pPr>
        <w:pStyle w:val="BodyText"/>
      </w:pPr>
      <w:r>
        <w:t xml:space="preserve">因此，劳动力在很多方面是一个巨大的、不变的飞轮（flywheel）</w:t>
      </w:r>
      <w:r>
        <w:rPr>
          <w:rStyle w:val="FootnoteReference"/>
        </w:rPr>
        <w:footnoteReference w:id="40"/>
      </w:r>
      <w:r>
        <w:t xml:space="preserve">；它的技能、教育资历和职业经验的组合变化比我们想象的要缓慢得多。在1960年代初，当丹尼尔·贝尔（1973）宣告后工业社会的到来时，刚刚退休的一代人中，受教育水平的中位数约为8年。只有到1970年，25岁以上的总人口受教育的中位数才达到12年。由于这种人口惯性（demographic inertia），技术和其他通常被认为决定实际分工的力量并不能随心所欲。它们必须从劳动力提供的条件中创造出一支劳动力，而这支劳动力本身就是由过去的政策、过去的分工和工人及其子女过去的选择造成。在1920年代到80年代的条件下，移民和离岸外包并不能有效地躲避这种决定作用。在这样一个相对封闭的经济中，就会出现某种萨伊定律（Say’s law）；被雇佣的劳动力必定或多或少是供给的劳动。这就在重要的方面制约了分工</w:t>
      </w:r>
      <w:r>
        <w:rPr>
          <w:rStyle w:val="FootnoteReference"/>
        </w:rPr>
        <w:footnoteReference w:id="41"/>
      </w:r>
    </w:p>
    <w:p>
      <w:pPr>
        <w:pStyle w:val="BodyText"/>
      </w:pPr>
      <w:r>
        <w:t xml:space="preserve">然而，这仍然不意味着职业分布是完全外生的。劳动力供给质量的内生变化会急剧影响分工的可能方案。一则简单的例子涉及大学教育。一批18岁的人中，大约有三分之二的人进入大学。截至2000年，25-29岁的美国人口中，有29.1%的人受过4年或以上的大学教育（U.S. Department of Education, 2002: 17；本段中所有教育数据均来自此）。同时，到2010年，美国职业体系中21.8%的工作将由需要大学学历的工作组成（目前该数字为20.7%；本段中所有劳动力数据见Hecker 2001）。可以肯定的是，29%的总增长将来自需要大学学位的职业，但新受教育的人进入劳动力队伍必须占据整体增长，而不是相对增长。而到2010年，25-29岁拥有大学学历的人的比例将不是现在的29%，而可能是35%左右（这个数字自1960年以来，每十年稳定增长6%）。而在未来十年发生的净就业增长中，只有20.9%会发生在需要大学学位的职业中（69.8%会发生在只需要工作相关培训的职业中，其中大部分是只需要一个月或更少的在职培训［OJT］的42.7%。未来的技术型劳动力到此为止了！）</w:t>
      </w:r>
    </w:p>
    <w:p>
      <w:pPr>
        <w:pStyle w:val="BodyText"/>
      </w:pPr>
      <w:r>
        <w:t xml:space="preserve">这种严酷的供过于求现象之所以出现，是因为家长和孩子们在［劳动市场的］边缘作出培训方面的决定，是根据现有的关于大学学位回报率的信息来做出的。他们不知道由于供过于求，这些回报率在未来十年内一定会急剧下降。因此，劳动力中的教育水平是由一个内生、滞后的过程所支配。因此，教育回报——毕竟是我们对流动性概念的重要组成部分，既是一种结果度量，也是我们认为支配行为的理性计算机制的一部分——原来本身就在某这意义上而言是内生的：父母和子女为了社会流动而做出的判断，将带来的劳动力队伍，其受教育水平远超工作岗位所需的程度，因此这将极大地重塑教育的回报。而这一切的发生时间将远远小于典型的工作生涯的长度</w:t>
      </w:r>
      <w:r>
        <w:rPr>
          <w:rStyle w:val="FootnoteReference"/>
        </w:rPr>
        <w:footnoteReference w:id="42"/>
      </w:r>
    </w:p>
    <w:p>
      <w:pPr>
        <w:pStyle w:val="BodyText"/>
      </w:pPr>
      <w:r>
        <w:t xml:space="preserve">但要注意的是，这种情况也可以看作是职业组合（occupational mix）提升技能的一个巨大机会。也就是说，在如此多的熟练劳动力进入供给的情况下，技术和管理力量可以选择重新组织分工来对他们加以利用。请再次注意，这表明技术和管理选择等这些所谓的「更大的历史力量」是如何建立在职业过程本身的内生因素上的。</w:t>
      </w:r>
    </w:p>
    <w:p>
      <w:pPr>
        <w:pStyle w:val="BodyText"/>
      </w:pPr>
      <w:r>
        <w:t xml:space="preserve">如果未来的职业分布——目标边际分布——在某种重要的意义上是内生的，那么对我们研究流动的方法会产生什么后果呢？在我看来，这些后果相当重要。流动的对数线性方法一般将先验边际［分别］和后验边际［分别］作为基线问题来拟合。而这具有重要的理论意义，正如约翰·戈德索普在他的《流动理论大纲》中提醒我们的那样：</w:t>
      </w:r>
    </w:p>
    <w:p>
      <w:pPr>
        <w:pStyle w:val="BlockText"/>
      </w:pPr>
      <w:r>
        <w:t xml:space="preserve">如果要解释绝对流动率和模式的变化（variation），就必须主要参照阶层分层过程本身的外生因素而不是内生因素：即参考决定阶层结构「形状」的因素，即不同阶层按比例的大小和增减率，而非参考决定个人在这些结构中实际保持或改变其地位的倾向的因素。……大多数流动研究者开始隐含地（如果不是明确地）接受这样的观点，即比率变化的绝对值事实上不能被视为系统性的，而且对这种变化的解释，无论是随时间推移产生的还是跨国间的区别，都需要从具体的历史角度，而不是从一般的理论角度来提供。（Goldthorpe 2000：232）</w:t>
      </w:r>
    </w:p>
    <w:p>
      <w:pPr>
        <w:pStyle w:val="FirstParagraph"/>
      </w:pPr>
      <w:r>
        <w:t xml:space="preserve">但如果我们觉得不能理直气壮地假设后验边际是外生的，那我们就麻烦了。对数线性模型的阶层性迫使我们不管喜欢与否都要拟合后验边际［分布］。一旦戈德索普的「特定历史条款」进入流动性过程内部，我们就不能再这样做了。结果，我们又一次回到了1975年以前特有的那种马尔科夫式、迭代的研究取径了分析流动，并在阿格·瑟伦森（1984）等学者的工作中继续。</w:t>
      </w:r>
    </w:p>
    <w:p>
      <w:pPr>
        <w:pStyle w:val="BodyText"/>
      </w:pPr>
      <w:r>
        <w:t xml:space="preserve">同样，我们也不清楚解决问题的办法是什么。但是，一旦我们相信产生流动性的机制涉及到对当前各种选择的未来收益的预测，我们就产生了一种内生性，严重挑战了当前流动性分析所特有的方法论立场。</w:t>
      </w:r>
    </w:p>
    <w:p>
      <w:pPr>
        <w:pStyle w:val="BodyText"/>
      </w:pPr>
      <w:r>
        <w:t xml:space="preserve">在这一章中，我对我们目前思考流动性的策略提出了一些担忧。这些问题加在一起，似乎表明流动研究正处在一个更新的时刻。特别是，将流动分析嵌入到 「职业过程」的综合框架中，将使我们能够走向一个将个人分配到职业岗位的完整模式。对于这个模型，我的三个问题与其说是问题，不如说是机会，尤其对系统的更新数学模型和模拟分析而言都是机会。职业的变化、吸收和失去任务，它们的合并和重新划分，都在一个与平均职业长度相称（commensurate）的时间范围内进行的，这只是一个事实。它构成了流动的一个重要的、「团体」的方面，需要直接研究。这与流动度量的生涯概念和点概念的时间假设问题以及职业结构对流动过程的一般内生性问题是一样的。这些问题也是困难重重，只有通过认真深化我们的分析工具和理论概念才能解决。在如此丰富的问题面前，社会流动研究一定会在未来蓬勃发展。</w:t>
      </w:r>
    </w:p>
    <w:bookmarkEnd w:id="43"/>
    <w:bookmarkStart w:id="44" w:name="参考文献"/>
    <w:p>
      <w:pPr>
        <w:pStyle w:val="Heading1"/>
      </w:pPr>
      <w:r>
        <w:t xml:space="preserve">参考文献</w:t>
      </w:r>
    </w:p>
    <w:bookmarkEnd w:id="44"/>
    <w:sectPr w:rsidR="00DD6548" w:rsidRPr="00657AE8" w:rsidSect="00E565B8">
      <w:footnotePr>
        <w:numRestart w:val="eachSect"/>
      </w:footnotePr>
      <w:pgSz w:h="16840" w:w="11900"/>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Heiti SC Light">
    <w:panose1 w:val="02000000000000000000"/>
    <w:charset w:val="80"/>
    <w:family w:val="auto"/>
    <w:pitch w:val="variable"/>
    <w:sig w:usb0="8000002F" w:usb1="0807004A" w:usb2="00000010" w:usb3="00000000" w:csb0="003E0001" w:csb1="00000000"/>
  </w:font>
  <w:font w:name="Kai">
    <w:altName w:val="Microsoft YaHei"/>
    <w:panose1 w:val="00000000000000000000"/>
    <w:charset w:val="86"/>
    <w:family w:val="auto"/>
    <w:pitch w:val="variable"/>
    <w:sig w:usb0="00000001" w:usb1="080E0000" w:usb2="00000010" w:usb3="00000000" w:csb0="00040001" w:csb1="00000000"/>
  </w:font>
  <w:font w:name="Times New Roman (Body CS)">
    <w:altName w:val="Times New Roman"/>
    <w:panose1 w:val="020B0604020202020204"/>
    <w:charset w:val="00"/>
    <w:family w:val="roman"/>
    <w:notTrueType/>
    <w:pitch w:val="default"/>
  </w:font>
  <w:font w:name="FangSong">
    <w:panose1 w:val="02010609060101010101"/>
    <w:charset w:val="86"/>
    <w:family w:val="modern"/>
    <w:pitch w:val="fixed"/>
    <w:sig w:usb0="800002BF" w:usb1="38CF7CFA" w:usb2="00000016" w:usb3="00000000" w:csb0="0004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［译注］：列克西斯图（Lexis diagram）是用来表示计算死亡概率和其他人口学指标的常用方法。在列克西斯图中，每一个人用一条生命线（life line）来表示。生命线始于出生，终于死亡点（point of death）。</w:t>
      </w:r>
    </w:p>
  </w:footnote>
  <w:footnote w:id="21">
    <w:p>
      <w:pPr>
        <w:pStyle w:val="FootnoteText"/>
      </w:pPr>
      <w:r>
        <w:rPr>
          <w:rStyle w:val="FootnoteReference"/>
        </w:rPr>
        <w:footnoteRef/>
      </w:r>
      <w:r>
        <w:t xml:space="preserve"> </w:t>
      </w:r>
      <w:r>
        <w:t xml:space="preserve">［译注］线段离x轴的距离越来越远。</w:t>
      </w:r>
    </w:p>
  </w:footnote>
  <w:footnote w:id="33">
    <w:p>
      <w:pPr>
        <w:pStyle w:val="FootnoteText"/>
      </w:pPr>
      <w:r>
        <w:rPr>
          <w:rStyle w:val="FootnoteReference"/>
        </w:rPr>
        <w:footnoteRef/>
      </w:r>
      <w:r>
        <w:t xml:space="preserve"> </w:t>
      </w:r>
      <w:r>
        <w:t xml:space="preserve">［译注］PSID=The Panel Study of Income Dynamics；NLS=The National Longitudinal Surveys；NLSY=National Longitudinal Survey of Youth ；CPS = Current Population Survey。</w:t>
      </w:r>
    </w:p>
  </w:footnote>
  <w:footnote w:id="34">
    <w:p>
      <w:pPr>
        <w:pStyle w:val="FootnoteText"/>
      </w:pPr>
      <w:r>
        <w:rPr>
          <w:rStyle w:val="FootnoteReference"/>
        </w:rPr>
        <w:footnoteRef/>
      </w:r>
      <w:r>
        <w:t xml:space="preserve"> </w:t>
      </w:r>
      <w:r>
        <w:t xml:space="preserve">事实上，我们对过去的这种持续时间也知之甚少。尽管我们知道，只是在最近的1950年代末或60年代初，一个进入劳动力市场的年轻人才知道他或她更有可能通过退休而不是死亡来离开劳动力市场。</w:t>
      </w:r>
    </w:p>
  </w:footnote>
  <w:footnote w:id="35">
    <w:p>
      <w:pPr>
        <w:pStyle w:val="FootnoteText"/>
      </w:pPr>
      <w:r>
        <w:rPr>
          <w:rStyle w:val="FootnoteReference"/>
        </w:rPr>
        <w:footnoteRef/>
      </w:r>
      <w:r>
        <w:t xml:space="preserve"> </w:t>
      </w:r>
      <w:r>
        <w:t xml:space="preserve">戈德索普在评论原论文时提出了这一点。</w:t>
      </w:r>
    </w:p>
  </w:footnote>
  <w:footnote w:id="36">
    <w:p>
      <w:pPr>
        <w:pStyle w:val="FootnoteText"/>
      </w:pPr>
      <w:r>
        <w:rPr>
          <w:rStyle w:val="FootnoteReference"/>
        </w:rPr>
        <w:footnoteRef/>
      </w:r>
      <w:r>
        <w:t xml:space="preserve"> </w:t>
      </w:r>
      <w:r>
        <w:t xml:space="preserve">想要从生涯角度来思考流动性的原因之一是人们自己也会这样做，起码在他们工作生活一开始的时候。可能是因为这是思考职业生活的一种普遍的文化模式。在另一方面，他们是否会过上「一种生涯」，目前还不清楚。</w:t>
      </w:r>
    </w:p>
  </w:footnote>
  <w:footnote w:id="37">
    <w:p>
      <w:pPr>
        <w:pStyle w:val="FootnoteText"/>
      </w:pPr>
      <w:r>
        <w:rPr>
          <w:rStyle w:val="FootnoteReference"/>
        </w:rPr>
        <w:footnoteRef/>
      </w:r>
      <w:r>
        <w:t xml:space="preserve"> </w:t>
      </w:r>
      <w:r>
        <w:t xml:space="preserve">事实上，目前的数据与这些数字惊人地接近。2000年4月25日BLS新闻（USDL 00-119）使用了NLSY79的数据，发现18至34岁的男性所从事的总体平均工作数量为9.6个。这可能代表了增长（对比「到30岁时干过超过7份工作」），但幅度并不很大，因为在30岁到34岁时，人们平均待过2.6个工作岗位（当然，其中一个岗位可能从30岁以前就开始做起，所以这两个数字不能完全相减）。</w:t>
      </w:r>
    </w:p>
  </w:footnote>
  <w:footnote w:id="39">
    <w:p>
      <w:pPr>
        <w:pStyle w:val="FootnoteText"/>
      </w:pPr>
      <w:r>
        <w:rPr>
          <w:rStyle w:val="FootnoteReference"/>
        </w:rPr>
        <w:footnoteRef/>
      </w:r>
      <w:r>
        <w:t xml:space="preserve"> </w:t>
      </w:r>
      <w:r>
        <w:t xml:space="preserve">这些数字是通过五年一次的劳动力数字计算出来的，标准假设是：</w:t>
      </w:r>
      <m:oMath>
        <m:r>
          <m:t>y</m:t>
        </m:r>
      </m:oMath>
      <w:r>
        <w:t xml:space="preserve">年</w:t>
      </w:r>
      <m:oMath>
        <m:r>
          <m:t>x</m:t>
        </m:r>
      </m:oMath>
      <w:r>
        <w:t xml:space="preserve">岁的劳动力与</w:t>
      </w:r>
      <m:oMath>
        <m:r>
          <m:t>y</m:t>
        </m:r>
        <m:r>
          <m:rPr>
            <m:sty m:val="p"/>
          </m:rPr>
          <m:t>+</m:t>
        </m:r>
        <m:r>
          <m:t>10</m:t>
        </m:r>
      </m:oMath>
      <w:r>
        <w:t xml:space="preserve">岁的劳动力</w:t>
      </w:r>
      <m:oMath>
        <m:r>
          <m:t>x</m:t>
        </m:r>
        <m:r>
          <m:rPr>
            <m:sty m:val="p"/>
          </m:rPr>
          <m:t>+</m:t>
        </m:r>
        <m:r>
          <m:t>10</m:t>
        </m:r>
      </m:oMath>
      <w:r>
        <w:t xml:space="preserve">相同。因此，该计算假设没有移民，也不能检测到单一队列中的交换（队列中的一个人离开劳动力，另一个人进入）。</w:t>
      </w:r>
    </w:p>
  </w:footnote>
  <w:footnote w:id="40">
    <w:p>
      <w:pPr>
        <w:pStyle w:val="FootnoteText"/>
      </w:pPr>
      <w:r>
        <w:rPr>
          <w:rStyle w:val="FootnoteReference"/>
        </w:rPr>
        <w:footnoteRef/>
      </w:r>
      <w:r>
        <w:t xml:space="preserve"> </w:t>
      </w:r>
      <w:r>
        <w:t xml:space="preserve">［译注］飞轮是一个连接在转动轴上的车轮，它让工程师可以把较大的作用力平均分配在设备上。用专用术语来说，飞轮平滑了能量波动（smooth the energy fluctuation），使能量均匀分布。飞轮以机械方式将能量储存为动能。一个日常生活中的例子是以内燃机驱动的汽车。引擎有多个汽缸，但每个汽缸的冲程节奏不同，由于飞轮的存在，使得引擎的力量可以均匀输出。</w:t>
      </w:r>
    </w:p>
  </w:footnote>
  <w:footnote w:id="41">
    <w:p>
      <w:pPr>
        <w:pStyle w:val="FootnoteText"/>
      </w:pPr>
      <w:r>
        <w:rPr>
          <w:rStyle w:val="FootnoteReference"/>
        </w:rPr>
        <w:footnoteRef/>
      </w:r>
      <w:r>
        <w:t xml:space="preserve"> </w:t>
      </w:r>
      <w:r>
        <w:t xml:space="preserve">在新自由主义条件下，这一限制大大放松，因为有效劳动力变成了国际性的（全世界外国工人总数约为整个美国劳动力的三分之二［Stalker 1994］），而且离岸外包将以前的「美国」工作的大部分带到其他地方。由于劳动力的供给范围因此大了许多，我们可以相信，至少对美国来说，分工的技术和管理来源受到的限制要比过去小得多。</w:t>
      </w:r>
    </w:p>
  </w:footnote>
  <w:footnote w:id="42">
    <w:p>
      <w:pPr>
        <w:pStyle w:val="FootnoteText"/>
      </w:pPr>
      <w:r>
        <w:rPr>
          <w:rStyle w:val="FootnoteReference"/>
        </w:rPr>
        <w:footnoteRef/>
      </w:r>
      <w:r>
        <w:t xml:space="preserve"> </w:t>
      </w:r>
      <w:r>
        <w:t xml:space="preserve">有些人可能会说，虽然劳动经济学家的模型假设行为者是边际合理化者，但实际上人们通常不是。但也许这种克制出卖了理性的狡计；也许人们（正确地）怀疑未来的熟练劳动力是一种幻象。自本文最初发表以来，高技能工作的输出已经成为常识）。劳工统计局两年一次的预测以单调的规律表明，「对高技能工人的爆炸性需求」的概念是由于误将高技能但迄今为止规模较小的职业的边际增长率作为一般工作增长的预测指标，而一般工作增长则相反地集中在相对不熟练的工作中。（最新的报告见Hecker 2004。）在预测到2012年就业增长的前20个职业中，一个需要博士学位（大学教师），一个需要学士学位（一般管理人员），一个需要大专学位（护理），三个需要中等程度的在职培训（1至12个月），14个需要短期（1个月或更少）在职培训（Hecker 2004：101）。</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07C94ED4"/>
    <w:multiLevelType w:val="hybridMultilevel"/>
    <w:tmpl w:val="88A494E2"/>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10D9155A"/>
    <w:multiLevelType w:val="hybridMultilevel"/>
    <w:tmpl w:val="2BE43CCE"/>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
    <w:nsid w:val="121D0BAC"/>
    <w:multiLevelType w:val="hybridMultilevel"/>
    <w:tmpl w:val="00144908"/>
    <w:lvl w:ilvl="0" w:tplc="0409000F">
      <w:start w:val="1"/>
      <w:numFmt w:val="decimal"/>
      <w:lvlText w:val="%1."/>
      <w:lvlJc w:val="left"/>
      <w:pPr>
        <w:ind w:hanging="360" w:left="1200"/>
      </w:pPr>
    </w:lvl>
    <w:lvl w:ilvl="1" w:tentative="1" w:tplc="04090019">
      <w:start w:val="1"/>
      <w:numFmt w:val="lowerLetter"/>
      <w:lvlText w:val="%2."/>
      <w:lvlJc w:val="left"/>
      <w:pPr>
        <w:ind w:hanging="360" w:left="1920"/>
      </w:pPr>
    </w:lvl>
    <w:lvl w:ilvl="2" w:tentative="1" w:tplc="0409001B">
      <w:start w:val="1"/>
      <w:numFmt w:val="lowerRoman"/>
      <w:lvlText w:val="%3."/>
      <w:lvlJc w:val="right"/>
      <w:pPr>
        <w:ind w:hanging="180" w:left="2640"/>
      </w:pPr>
    </w:lvl>
    <w:lvl w:ilvl="3" w:tentative="1" w:tplc="0409000F">
      <w:start w:val="1"/>
      <w:numFmt w:val="decimal"/>
      <w:lvlText w:val="%4."/>
      <w:lvlJc w:val="left"/>
      <w:pPr>
        <w:ind w:hanging="360" w:left="3360"/>
      </w:pPr>
    </w:lvl>
    <w:lvl w:ilvl="4" w:tentative="1" w:tplc="04090019">
      <w:start w:val="1"/>
      <w:numFmt w:val="lowerLetter"/>
      <w:lvlText w:val="%5."/>
      <w:lvlJc w:val="left"/>
      <w:pPr>
        <w:ind w:hanging="360" w:left="4080"/>
      </w:pPr>
    </w:lvl>
    <w:lvl w:ilvl="5" w:tentative="1" w:tplc="0409001B">
      <w:start w:val="1"/>
      <w:numFmt w:val="lowerRoman"/>
      <w:lvlText w:val="%6."/>
      <w:lvlJc w:val="right"/>
      <w:pPr>
        <w:ind w:hanging="180" w:left="4800"/>
      </w:pPr>
    </w:lvl>
    <w:lvl w:ilvl="6" w:tentative="1" w:tplc="0409000F">
      <w:start w:val="1"/>
      <w:numFmt w:val="decimal"/>
      <w:lvlText w:val="%7."/>
      <w:lvlJc w:val="left"/>
      <w:pPr>
        <w:ind w:hanging="360" w:left="5520"/>
      </w:pPr>
    </w:lvl>
    <w:lvl w:ilvl="7" w:tentative="1" w:tplc="04090019">
      <w:start w:val="1"/>
      <w:numFmt w:val="lowerLetter"/>
      <w:lvlText w:val="%8."/>
      <w:lvlJc w:val="left"/>
      <w:pPr>
        <w:ind w:hanging="360" w:left="6240"/>
      </w:pPr>
    </w:lvl>
    <w:lvl w:ilvl="8" w:tentative="1" w:tplc="0409001B">
      <w:start w:val="1"/>
      <w:numFmt w:val="lowerRoman"/>
      <w:lvlText w:val="%9."/>
      <w:lvlJc w:val="right"/>
      <w:pPr>
        <w:ind w:hanging="180" w:left="6960"/>
      </w:pPr>
    </w:lvl>
  </w:abstractNum>
  <w:abstractNum w15:restartNumberingAfterBreak="0" w:abstractNumId="3">
    <w:nsid w:val="7BD01CB4"/>
    <w:multiLevelType w:val="hybridMultilevel"/>
    <w:tmpl w:val="9EF22530"/>
    <w:lvl w:ilvl="0" w:tplc="0409000F">
      <w:start w:val="1"/>
      <w:numFmt w:val="decimal"/>
      <w:lvlText w:val="%1."/>
      <w:lvlJc w:val="left"/>
      <w:pPr>
        <w:ind w:hanging="360" w:left="1140"/>
      </w:pPr>
    </w:lvl>
    <w:lvl w:ilvl="1" w:tentative="1" w:tplc="04090019">
      <w:start w:val="1"/>
      <w:numFmt w:val="lowerLetter"/>
      <w:lvlText w:val="%2."/>
      <w:lvlJc w:val="left"/>
      <w:pPr>
        <w:ind w:hanging="360" w:left="1860"/>
      </w:pPr>
    </w:lvl>
    <w:lvl w:ilvl="2" w:tentative="1" w:tplc="0409001B">
      <w:start w:val="1"/>
      <w:numFmt w:val="lowerRoman"/>
      <w:lvlText w:val="%3."/>
      <w:lvlJc w:val="right"/>
      <w:pPr>
        <w:ind w:hanging="180" w:left="2580"/>
      </w:pPr>
    </w:lvl>
    <w:lvl w:ilvl="3" w:tentative="1" w:tplc="0409000F">
      <w:start w:val="1"/>
      <w:numFmt w:val="decimal"/>
      <w:lvlText w:val="%4."/>
      <w:lvlJc w:val="left"/>
      <w:pPr>
        <w:ind w:hanging="360" w:left="3300"/>
      </w:pPr>
    </w:lvl>
    <w:lvl w:ilvl="4" w:tentative="1" w:tplc="04090019">
      <w:start w:val="1"/>
      <w:numFmt w:val="lowerLetter"/>
      <w:lvlText w:val="%5."/>
      <w:lvlJc w:val="left"/>
      <w:pPr>
        <w:ind w:hanging="360" w:left="4020"/>
      </w:pPr>
    </w:lvl>
    <w:lvl w:ilvl="5" w:tentative="1" w:tplc="0409001B">
      <w:start w:val="1"/>
      <w:numFmt w:val="lowerRoman"/>
      <w:lvlText w:val="%6."/>
      <w:lvlJc w:val="right"/>
      <w:pPr>
        <w:ind w:hanging="180" w:left="4740"/>
      </w:pPr>
    </w:lvl>
    <w:lvl w:ilvl="6" w:tentative="1" w:tplc="0409000F">
      <w:start w:val="1"/>
      <w:numFmt w:val="decimal"/>
      <w:lvlText w:val="%7."/>
      <w:lvlJc w:val="left"/>
      <w:pPr>
        <w:ind w:hanging="360" w:left="5460"/>
      </w:pPr>
    </w:lvl>
    <w:lvl w:ilvl="7" w:tentative="1" w:tplc="04090019">
      <w:start w:val="1"/>
      <w:numFmt w:val="lowerLetter"/>
      <w:lvlText w:val="%8."/>
      <w:lvlJc w:val="left"/>
      <w:pPr>
        <w:ind w:hanging="360" w:left="6180"/>
      </w:pPr>
    </w:lvl>
    <w:lvl w:ilvl="8" w:tentative="1" w:tplc="0409001B">
      <w:start w:val="1"/>
      <w:numFmt w:val="lowerRoman"/>
      <w:lvlText w:val="%9."/>
      <w:lvlJc w:val="right"/>
      <w:pPr>
        <w:ind w:hanging="180" w:left="690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2"/>
  </w:num>
  <w:num w:numId="2">
    <w:abstractNumId w:val="3"/>
  </w:num>
  <w:num w:numId="3">
    <w:abstractNumId w:val="0"/>
  </w:num>
  <w:num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zoom w:percent="180"/>
  <w:proofState w:grammar="clean" w:spelling="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kern w:val="2"/>
        <w:sz w:val="24"/>
        <w:szCs w:val="24"/>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216990"/>
    <w:pPr>
      <w:widowControl w:val="0"/>
      <w:spacing w:after="240"/>
      <w:ind w:firstLine="420"/>
      <w:jc w:val="both"/>
    </w:pPr>
  </w:style>
  <w:style w:styleId="Heading1" w:type="paragraph">
    <w:name w:val="heading 1"/>
    <w:basedOn w:val="Normal"/>
    <w:next w:val="Normal"/>
    <w:link w:val="Heading1Char"/>
    <w:uiPriority w:val="9"/>
    <w:qFormat/>
    <w:rsid w:val="00772841"/>
    <w:pPr>
      <w:keepNext/>
      <w:keepLines/>
      <w:spacing w:before="240"/>
      <w:outlineLvl w:val="0"/>
    </w:pPr>
    <w:rPr>
      <w:rFonts w:asciiTheme="majorHAnsi" w:cstheme="majorBidi" w:eastAsiaTheme="majorEastAsia" w:hAnsiTheme="majorHAnsi"/>
      <w:color w:themeColor="accent1" w:themeShade="BF" w:val="365F91"/>
      <w:sz w:val="32"/>
      <w:szCs w:val="32"/>
    </w:rPr>
  </w:style>
  <w:style w:styleId="Heading2" w:type="paragraph">
    <w:name w:val="heading 2"/>
    <w:basedOn w:val="Normal"/>
    <w:next w:val="Normal"/>
    <w:link w:val="Heading2Char"/>
    <w:uiPriority w:val="9"/>
    <w:unhideWhenUsed/>
    <w:qFormat/>
    <w:rsid w:val="00772841"/>
    <w:pPr>
      <w:keepNext/>
      <w:keepLines/>
      <w:spacing w:before="40"/>
      <w:outlineLvl w:val="1"/>
    </w:pPr>
    <w:rPr>
      <w:rFonts w:asciiTheme="majorHAnsi" w:cstheme="majorBidi" w:eastAsiaTheme="majorEastAsia" w:hAnsiTheme="majorHAnsi"/>
      <w:color w:themeColor="accent1" w:themeShade="BF" w:val="365F91"/>
      <w:sz w:val="26"/>
      <w:szCs w:val="26"/>
    </w:rPr>
  </w:style>
  <w:style w:styleId="Heading3" w:type="paragraph">
    <w:name w:val="heading 3"/>
    <w:basedOn w:val="Normal"/>
    <w:next w:val="Normal"/>
    <w:link w:val="Heading3Char"/>
    <w:uiPriority w:val="9"/>
    <w:unhideWhenUsed/>
    <w:qFormat/>
    <w:rsid w:val="0033185B"/>
    <w:pPr>
      <w:keepNext/>
      <w:keepLines/>
      <w:spacing w:after="0" w:before="40"/>
      <w:outlineLvl w:val="2"/>
    </w:pPr>
    <w:rPr>
      <w:rFonts w:asciiTheme="majorHAnsi" w:cstheme="majorBidi" w:eastAsiaTheme="majorEastAsia" w:hAnsiTheme="majorHAnsi"/>
      <w:b/>
      <w:color w:themeColor="accent1" w:val="4F81BD"/>
    </w:rPr>
  </w:style>
  <w:style w:styleId="Heading4" w:type="paragraph">
    <w:name w:val="heading 4"/>
    <w:basedOn w:val="Normal"/>
    <w:next w:val="Normal"/>
    <w:link w:val="Heading4Char"/>
    <w:uiPriority w:val="9"/>
    <w:unhideWhenUsed/>
    <w:qFormat/>
    <w:rsid w:val="0033185B"/>
    <w:pPr>
      <w:keepNext/>
      <w:keepLines/>
      <w:spacing w:after="0" w:before="40"/>
      <w:outlineLvl w:val="3"/>
    </w:pPr>
    <w:rPr>
      <w:rFonts w:asciiTheme="majorHAnsi" w:cstheme="majorBidi" w:eastAsiaTheme="majorEastAsia" w:hAnsiTheme="majorHAnsi"/>
      <w:i/>
      <w:iCs/>
      <w:color w:themeColor="accent1" w:themeShade="BF" w:val="365F9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alloonText" w:type="paragraph">
    <w:name w:val="Balloon Text"/>
    <w:basedOn w:val="Normal"/>
    <w:link w:val="BalloonTextChar"/>
    <w:uiPriority w:val="99"/>
    <w:semiHidden/>
    <w:unhideWhenUsed/>
    <w:rsid w:val="00373319"/>
    <w:rPr>
      <w:rFonts w:ascii="Heiti SC Light" w:eastAsia="Heiti SC Light"/>
      <w:sz w:val="18"/>
      <w:szCs w:val="18"/>
    </w:rPr>
  </w:style>
  <w:style w:customStyle="1" w:styleId="BalloonTextChar" w:type="character">
    <w:name w:val="Balloon Text Char"/>
    <w:basedOn w:val="DefaultParagraphFont"/>
    <w:link w:val="BalloonText"/>
    <w:uiPriority w:val="99"/>
    <w:semiHidden/>
    <w:rsid w:val="00373319"/>
    <w:rPr>
      <w:rFonts w:ascii="Heiti SC Light" w:eastAsia="Heiti SC Light"/>
      <w:sz w:val="18"/>
      <w:szCs w:val="18"/>
    </w:rPr>
  </w:style>
  <w:style w:styleId="Hyperlink" w:type="character">
    <w:name w:val="Hyperlink"/>
    <w:basedOn w:val="DefaultParagraphFont"/>
    <w:uiPriority w:val="99"/>
    <w:unhideWhenUsed/>
    <w:rsid w:val="00456E1C"/>
    <w:rPr>
      <w:color w:themeColor="hyperlink" w:val="0000FF"/>
      <w:u w:val="single"/>
    </w:rPr>
  </w:style>
  <w:style w:styleId="CommentReference" w:type="character">
    <w:name w:val="annotation reference"/>
    <w:basedOn w:val="DefaultParagraphFont"/>
    <w:uiPriority w:val="99"/>
    <w:semiHidden/>
    <w:unhideWhenUsed/>
    <w:rsid w:val="00084DC6"/>
    <w:rPr>
      <w:sz w:val="16"/>
      <w:szCs w:val="16"/>
    </w:rPr>
  </w:style>
  <w:style w:styleId="CommentText" w:type="paragraph">
    <w:name w:val="annotation text"/>
    <w:basedOn w:val="Normal"/>
    <w:link w:val="CommentTextChar"/>
    <w:uiPriority w:val="99"/>
    <w:semiHidden/>
    <w:unhideWhenUsed/>
    <w:rsid w:val="00084DC6"/>
    <w:rPr>
      <w:sz w:val="20"/>
      <w:szCs w:val="20"/>
    </w:rPr>
  </w:style>
  <w:style w:customStyle="1" w:styleId="CommentTextChar" w:type="character">
    <w:name w:val="Comment Text Char"/>
    <w:basedOn w:val="DefaultParagraphFont"/>
    <w:link w:val="CommentText"/>
    <w:uiPriority w:val="99"/>
    <w:semiHidden/>
    <w:rsid w:val="00084DC6"/>
    <w:rPr>
      <w:sz w:val="20"/>
      <w:szCs w:val="20"/>
    </w:rPr>
  </w:style>
  <w:style w:styleId="CommentSubject" w:type="paragraph">
    <w:name w:val="annotation subject"/>
    <w:basedOn w:val="CommentText"/>
    <w:next w:val="CommentText"/>
    <w:link w:val="CommentSubjectChar"/>
    <w:uiPriority w:val="99"/>
    <w:semiHidden/>
    <w:unhideWhenUsed/>
    <w:rsid w:val="00084DC6"/>
    <w:rPr>
      <w:b/>
      <w:bCs/>
    </w:rPr>
  </w:style>
  <w:style w:customStyle="1" w:styleId="CommentSubjectChar" w:type="character">
    <w:name w:val="Comment Subject Char"/>
    <w:basedOn w:val="CommentTextChar"/>
    <w:link w:val="CommentSubject"/>
    <w:uiPriority w:val="99"/>
    <w:semiHidden/>
    <w:rsid w:val="00084DC6"/>
    <w:rPr>
      <w:b/>
      <w:bCs/>
      <w:sz w:val="20"/>
      <w:szCs w:val="20"/>
    </w:rPr>
  </w:style>
  <w:style w:styleId="FootnoteText" w:type="paragraph">
    <w:name w:val="footnote text"/>
    <w:basedOn w:val="Normal"/>
    <w:link w:val="FootnoteTextChar"/>
    <w:uiPriority w:val="99"/>
    <w:unhideWhenUsed/>
    <w:rsid w:val="001F6F79"/>
    <w:rPr>
      <w:sz w:val="20"/>
      <w:szCs w:val="20"/>
    </w:rPr>
  </w:style>
  <w:style w:customStyle="1" w:styleId="FootnoteTextChar" w:type="character">
    <w:name w:val="Footnote Text Char"/>
    <w:basedOn w:val="DefaultParagraphFont"/>
    <w:link w:val="FootnoteText"/>
    <w:uiPriority w:val="99"/>
    <w:rsid w:val="001F6F79"/>
    <w:rPr>
      <w:sz w:val="20"/>
      <w:szCs w:val="20"/>
    </w:rPr>
  </w:style>
  <w:style w:styleId="FootnoteReference" w:type="character">
    <w:name w:val="footnote reference"/>
    <w:basedOn w:val="DefaultParagraphFont"/>
    <w:uiPriority w:val="99"/>
    <w:unhideWhenUsed/>
    <w:rsid w:val="001F6F79"/>
    <w:rPr>
      <w:vertAlign w:val="superscript"/>
    </w:rPr>
  </w:style>
  <w:style w:styleId="FollowedHyperlink" w:type="character">
    <w:name w:val="FollowedHyperlink"/>
    <w:basedOn w:val="DefaultParagraphFont"/>
    <w:uiPriority w:val="99"/>
    <w:semiHidden/>
    <w:unhideWhenUsed/>
    <w:rsid w:val="00B44E45"/>
    <w:rPr>
      <w:color w:themeColor="followedHyperlink" w:val="800080"/>
      <w:u w:val="single"/>
    </w:rPr>
  </w:style>
  <w:style w:styleId="Header" w:type="paragraph">
    <w:name w:val="header"/>
    <w:basedOn w:val="Normal"/>
    <w:link w:val="HeaderChar"/>
    <w:uiPriority w:val="99"/>
    <w:unhideWhenUsed/>
    <w:rsid w:val="00F272C8"/>
    <w:pPr>
      <w:tabs>
        <w:tab w:pos="4680" w:val="center"/>
        <w:tab w:pos="9360" w:val="right"/>
      </w:tabs>
    </w:pPr>
  </w:style>
  <w:style w:customStyle="1" w:styleId="HeaderChar" w:type="character">
    <w:name w:val="Header Char"/>
    <w:basedOn w:val="DefaultParagraphFont"/>
    <w:link w:val="Header"/>
    <w:uiPriority w:val="99"/>
    <w:rsid w:val="00F272C8"/>
  </w:style>
  <w:style w:styleId="Footer" w:type="paragraph">
    <w:name w:val="footer"/>
    <w:basedOn w:val="Normal"/>
    <w:link w:val="FooterChar"/>
    <w:uiPriority w:val="99"/>
    <w:unhideWhenUsed/>
    <w:rsid w:val="00F272C8"/>
    <w:pPr>
      <w:tabs>
        <w:tab w:pos="4680" w:val="center"/>
        <w:tab w:pos="9360" w:val="right"/>
      </w:tabs>
    </w:pPr>
  </w:style>
  <w:style w:customStyle="1" w:styleId="FooterChar" w:type="character">
    <w:name w:val="Footer Char"/>
    <w:basedOn w:val="DefaultParagraphFont"/>
    <w:link w:val="Footer"/>
    <w:uiPriority w:val="99"/>
    <w:rsid w:val="00F272C8"/>
  </w:style>
  <w:style w:styleId="ListParagraph" w:type="paragraph">
    <w:name w:val="List Paragraph"/>
    <w:basedOn w:val="Normal"/>
    <w:uiPriority w:val="34"/>
    <w:qFormat/>
    <w:rsid w:val="00843E53"/>
    <w:pPr>
      <w:ind w:left="720"/>
      <w:contextualSpacing/>
    </w:pPr>
  </w:style>
  <w:style w:customStyle="1" w:styleId="Heading1Char" w:type="character">
    <w:name w:val="Heading 1 Char"/>
    <w:basedOn w:val="DefaultParagraphFont"/>
    <w:link w:val="Heading1"/>
    <w:uiPriority w:val="9"/>
    <w:rsid w:val="00772841"/>
    <w:rPr>
      <w:rFonts w:asciiTheme="majorHAnsi" w:cstheme="majorBidi" w:eastAsiaTheme="majorEastAsia" w:hAnsiTheme="majorHAnsi"/>
      <w:color w:themeColor="accent1" w:themeShade="BF" w:val="365F91"/>
      <w:sz w:val="32"/>
      <w:szCs w:val="32"/>
    </w:rPr>
  </w:style>
  <w:style w:styleId="Title" w:type="paragraph">
    <w:name w:val="Title"/>
    <w:basedOn w:val="Normal"/>
    <w:next w:val="Normal"/>
    <w:link w:val="TitleChar"/>
    <w:uiPriority w:val="10"/>
    <w:qFormat/>
    <w:rsid w:val="00772841"/>
    <w:pPr>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772841"/>
    <w:rPr>
      <w:rFonts w:asciiTheme="majorHAnsi" w:cstheme="majorBidi" w:eastAsiaTheme="majorEastAsia" w:hAnsiTheme="majorHAnsi"/>
      <w:spacing w:val="-10"/>
      <w:kern w:val="28"/>
      <w:sz w:val="56"/>
      <w:szCs w:val="56"/>
    </w:rPr>
  </w:style>
  <w:style w:customStyle="1" w:styleId="Heading2Char" w:type="character">
    <w:name w:val="Heading 2 Char"/>
    <w:basedOn w:val="DefaultParagraphFont"/>
    <w:link w:val="Heading2"/>
    <w:uiPriority w:val="9"/>
    <w:rsid w:val="00772841"/>
    <w:rPr>
      <w:rFonts w:asciiTheme="majorHAnsi" w:cstheme="majorBidi" w:eastAsiaTheme="majorEastAsia" w:hAnsiTheme="majorHAnsi"/>
      <w:color w:themeColor="accent1" w:themeShade="BF" w:val="365F91"/>
      <w:sz w:val="26"/>
      <w:szCs w:val="26"/>
    </w:rPr>
  </w:style>
  <w:style w:styleId="Quote" w:type="paragraph">
    <w:name w:val="Quote"/>
    <w:basedOn w:val="Normal"/>
    <w:next w:val="Normal"/>
    <w:link w:val="QuoteChar"/>
    <w:uiPriority w:val="29"/>
    <w:qFormat/>
    <w:rsid w:val="00C32640"/>
    <w:pPr>
      <w:ind w:hanging="426" w:left="426"/>
    </w:pPr>
    <w:rPr>
      <w:rFonts w:cs="Times New Roman (Body CS)" w:eastAsia="Kai"/>
    </w:rPr>
  </w:style>
  <w:style w:customStyle="1" w:styleId="QuoteChar" w:type="character">
    <w:name w:val="Quote Char"/>
    <w:basedOn w:val="DefaultParagraphFont"/>
    <w:link w:val="Quote"/>
    <w:uiPriority w:val="29"/>
    <w:rsid w:val="00C32640"/>
    <w:rPr>
      <w:rFonts w:cs="Times New Roman (Body CS)" w:eastAsia="Kai"/>
    </w:rPr>
  </w:style>
  <w:style w:customStyle="1" w:styleId="Heading3Char" w:type="character">
    <w:name w:val="Heading 3 Char"/>
    <w:basedOn w:val="DefaultParagraphFont"/>
    <w:link w:val="Heading3"/>
    <w:uiPriority w:val="9"/>
    <w:rsid w:val="0033185B"/>
    <w:rPr>
      <w:rFonts w:asciiTheme="majorHAnsi" w:cstheme="majorBidi" w:eastAsiaTheme="majorEastAsia" w:hAnsiTheme="majorHAnsi"/>
      <w:b/>
      <w:color w:themeColor="accent1" w:val="4F81BD"/>
    </w:rPr>
  </w:style>
  <w:style w:customStyle="1" w:styleId="Heading4Char" w:type="character">
    <w:name w:val="Heading 4 Char"/>
    <w:basedOn w:val="DefaultParagraphFont"/>
    <w:link w:val="Heading4"/>
    <w:uiPriority w:val="9"/>
    <w:rsid w:val="0033185B"/>
    <w:rPr>
      <w:rFonts w:asciiTheme="majorHAnsi" w:cstheme="majorBidi" w:eastAsiaTheme="majorEastAsia" w:hAnsiTheme="majorHAnsi"/>
      <w:i/>
      <w:iCs/>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6840548">
      <w:bodyDiv w:val="1"/>
      <w:marLeft w:val="0"/>
      <w:marRight w:val="0"/>
      <w:marTop w:val="0"/>
      <w:marBottom w:val="0"/>
      <w:divBdr>
        <w:top w:val="none" w:sz="0" w:space="0" w:color="auto"/>
        <w:left w:val="none" w:sz="0" w:space="0" w:color="auto"/>
        <w:bottom w:val="none" w:sz="0" w:space="0" w:color="auto"/>
        <w:right w:val="none" w:sz="0" w:space="0" w:color="auto"/>
      </w:divBdr>
    </w:div>
    <w:div w:id="1620525282">
      <w:bodyDiv w:val="1"/>
      <w:marLeft w:val="0"/>
      <w:marRight w:val="0"/>
      <w:marTop w:val="0"/>
      <w:marBottom w:val="0"/>
      <w:divBdr>
        <w:top w:val="none" w:sz="0" w:space="0" w:color="auto"/>
        <w:left w:val="none" w:sz="0" w:space="0" w:color="auto"/>
        <w:bottom w:val="none" w:sz="0" w:space="0" w:color="auto"/>
        <w:right w:val="none" w:sz="0" w:space="0" w:color="auto"/>
      </w:divBdr>
    </w:div>
    <w:div w:id="1886484898">
      <w:bodyDiv w:val="1"/>
      <w:marLeft w:val="0"/>
      <w:marRight w:val="0"/>
      <w:marTop w:val="0"/>
      <w:marBottom w:val="0"/>
      <w:divBdr>
        <w:top w:val="none" w:sz="0" w:space="0" w:color="auto"/>
        <w:left w:val="none" w:sz="0" w:space="0" w:color="auto"/>
        <w:bottom w:val="none" w:sz="0" w:space="0" w:color="auto"/>
        <w:right w:val="none" w:sz="0" w:space="0" w:color="auto"/>
      </w:divBdr>
      <w:divsChild>
        <w:div w:id="1623539899">
          <w:marLeft w:val="480"/>
          <w:marRight w:val="0"/>
          <w:marTop w:val="0"/>
          <w:marBottom w:val="0"/>
          <w:divBdr>
            <w:top w:val="none" w:sz="0" w:space="0" w:color="auto"/>
            <w:left w:val="none" w:sz="0" w:space="0" w:color="auto"/>
            <w:bottom w:val="none" w:sz="0" w:space="0" w:color="auto"/>
            <w:right w:val="none" w:sz="0" w:space="0" w:color="auto"/>
          </w:divBdr>
          <w:divsChild>
            <w:div w:id="74668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19</Pages>
  <Words>2695</Words>
  <Characters>15366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CASS</Company>
  <LinksUpToDate>false</LinksUpToDate>
  <CharactersWithSpaces>18025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Mobility: What? When? How? 社会流动：是什么？在何时？怎样发生？</dc:title>
  <dc:creator>原著：Andrew Abbott 安德鲁·阿伯特; 翻译：周忆粟</dc:creator>
  <cp:keywords/>
  <dcterms:created xsi:type="dcterms:W3CDTF">2022-07-17T06:40:19Z</dcterms:created>
  <dcterms:modified xsi:type="dcterms:W3CDTF">2022-07-17T06:40:19Z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fontset=adobe</vt:lpwstr>
  </property>
  <property fmtid="{D5CDD505-2E9C-101B-9397-08002B2CF9AE}" pid="3" name="date">
    <vt:lpwstr>版本：2022.07.15</vt:lpwstr>
  </property>
  <property fmtid="{D5CDD505-2E9C-101B-9397-08002B2CF9AE}" pid="4" name="documentclass">
    <vt:lpwstr>ctexart</vt:lpwstr>
  </property>
  <property fmtid="{D5CDD505-2E9C-101B-9397-08002B2CF9AE}" pid="5" name="header-includes">
    <vt:lpwstr/>
  </property>
  <property fmtid="{D5CDD505-2E9C-101B-9397-08002B2CF9AE}" pid="6" name="output">
    <vt:lpwstr/>
  </property>
</Properties>
</file>