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90008" w14:textId="77777777" w:rsidR="00147DB6" w:rsidRDefault="00000000">
      <w:pPr>
        <w:pStyle w:val="Title"/>
      </w:pPr>
      <w:r>
        <w:t>文化如何在教育中起作用？</w:t>
      </w:r>
    </w:p>
    <w:p w14:paraId="0EC328EC" w14:textId="77777777" w:rsidR="00147DB6" w:rsidRDefault="00000000">
      <w:r>
        <w:t>作者：</w:t>
      </w:r>
      <w:r>
        <w:t>Joanne W. Golann</w:t>
      </w:r>
      <w:r>
        <w:t>（范德堡大学）</w:t>
      </w:r>
    </w:p>
    <w:p w14:paraId="70059C81" w14:textId="77777777" w:rsidR="00147DB6" w:rsidRDefault="00000000">
      <w:r>
        <w:t>翻译：潘志豪（雪城大学）、周忆粟（澳门大学）</w:t>
      </w:r>
    </w:p>
    <w:p w14:paraId="2251F89A" w14:textId="77777777" w:rsidR="00147DB6" w:rsidRDefault="00000000">
      <w:r>
        <w:t>版本：</w:t>
      </w:r>
      <w:r>
        <w:t>2023.06.01</w:t>
      </w:r>
    </w:p>
    <w:p w14:paraId="3DBAE99D" w14:textId="65D4AA38" w:rsidR="00147DB6" w:rsidRDefault="00000000">
      <w:r>
        <w:t>［译者按］本文节选自</w:t>
      </w:r>
      <w:r>
        <w:t xml:space="preserve">Joanne W. Golann. </w:t>
      </w:r>
      <w:r>
        <w:rPr>
          <w:i/>
          <w:iCs/>
        </w:rPr>
        <w:t>Scripting the Moves: Culture &amp; Control in a “No-Excuses” Charter School</w:t>
      </w:r>
      <w:r>
        <w:t xml:space="preserve">. Princeton University Press, Princeton, NJ, 2021. </w:t>
      </w:r>
      <w:r>
        <w:t>在这本社会学著作中，作者长期追踪了美国的一所「零借口学校」</w:t>
      </w:r>
      <w:r>
        <w:t>“no-excuses school”</w:t>
      </w:r>
      <w:r>
        <w:t>。这是一类极具美国特色的特许学校（</w:t>
      </w:r>
      <w:r>
        <w:t>Charter School</w:t>
      </w:r>
      <w:r>
        <w:t>）</w:t>
      </w:r>
      <w:r w:rsidR="002045FE">
        <w:t>──</w:t>
      </w:r>
      <w:r>
        <w:t>它们的共同特点在于拥护基于市场的教育改革，强调给予家长更多选择、扩大学校间竞争和增强学校内部问责制。特许学校不受按就近入学的传统学区制度的制约，学生可以跨学区入读特许学校。特许学校算是新事物，</w:t>
      </w:r>
      <w:r>
        <w:t>1991</w:t>
      </w:r>
      <w:r>
        <w:t>年才在明尼苏达州第一次出现，但如今却已遍布全美。特许学校主要招收来自都市贫困地区的学生。零借口学校是特许学校的一种。与其他特许学校相比，零借口特许学校更注重通过严格的行为脚本来帮助贫困学生改变行为并提升学业。除了本文所研究的「梦想学院」（假名），类似的零借口特许学校还有</w:t>
      </w:r>
      <w:r>
        <w:t>KIPP (Knowledge Is Power Program)</w:t>
      </w:r>
      <w:r>
        <w:t>、成功学院（</w:t>
      </w:r>
      <w:r>
        <w:t>Success Academy</w:t>
      </w:r>
      <w:r>
        <w:t>）、非凡学校（</w:t>
      </w:r>
      <w:r>
        <w:t>Uncommon Schools</w:t>
      </w:r>
      <w:r>
        <w:t>）、</w:t>
      </w:r>
      <w:r>
        <w:t>YES</w:t>
      </w:r>
      <w:r>
        <w:t>预科学校（</w:t>
      </w:r>
      <w:r>
        <w:t>YES Prep</w:t>
      </w:r>
      <w:r>
        <w:t>）和成就第一学校（</w:t>
      </w:r>
      <w:r>
        <w:t>Achievement First</w:t>
      </w:r>
      <w:r>
        <w:t>）等等。作者</w:t>
      </w:r>
      <w:r>
        <w:t>Golann</w:t>
      </w:r>
      <w:r>
        <w:t>以文化社会学的视角来分析这种办学模式究竟带来哪些问题。</w:t>
      </w:r>
    </w:p>
    <w:p w14:paraId="46A0F251" w14:textId="77777777" w:rsidR="00147DB6" w:rsidRDefault="0064080F">
      <w:r>
        <w:rPr>
          <w:noProof/>
        </w:rPr>
        <w:pict w14:anchorId="04569823">
          <v:rect id="_x0000_i1025" alt="" style="width:415.1pt;height:.05pt;mso-width-percent:0;mso-height-percent:0;mso-width-percent:0;mso-height-percent:0" o:hrpct="887" o:hralign="center" o:hrstd="t" o:hr="t"/>
        </w:pict>
      </w:r>
    </w:p>
    <w:p w14:paraId="277CF5CD" w14:textId="77777777" w:rsidR="00147DB6" w:rsidRDefault="00000000">
      <w:pPr>
        <w:pStyle w:val="Heading1"/>
      </w:pPr>
      <w:bookmarkStart w:id="0" w:name="作为互动工具的文化资本"/>
      <w:r>
        <w:t>作为互动工具的文化资本</w:t>
      </w:r>
    </w:p>
    <w:p w14:paraId="7FEE9448" w14:textId="025452A4" w:rsidR="00147DB6" w:rsidRDefault="00000000">
      <w:r>
        <w:t>文化是一种资源。在引入文化资本这一概念时，布迪厄（</w:t>
      </w:r>
      <w:r>
        <w:t>Bourdieu</w:t>
      </w:r>
      <w:r>
        <w:t>）认识到，富裕家庭不仅为他们的子女提供了社会资本和经济资本，还向他们传递了文化资本</w:t>
      </w:r>
      <w:r w:rsidR="002045FE">
        <w:t>──</w:t>
      </w:r>
      <w:r>
        <w:rPr>
          <w:rFonts w:hint="eastAsia"/>
        </w:rPr>
        <w:t>一</w:t>
      </w:r>
      <w:r>
        <w:t>种相比之下不那么显眼的优势形式。</w:t>
      </w:r>
      <w:r>
        <w:rPr>
          <w:rStyle w:val="FootnoteReference"/>
        </w:rPr>
        <w:footnoteReference w:id="1"/>
      </w:r>
      <w:r>
        <w:t>早期的文化资本研究倾向于关注地位较高人士的文化实践，如参观博物馆、掌握古典音乐知识和修读艺术课程等。</w:t>
      </w:r>
      <w:r>
        <w:rPr>
          <w:rStyle w:val="FootnoteReference"/>
        </w:rPr>
        <w:footnoteReference w:id="2"/>
      </w:r>
      <w:r>
        <w:t>那些来自有时间和金钱投入这种培养（</w:t>
      </w:r>
      <w:r>
        <w:t>cultivation</w:t>
      </w:r>
      <w:r>
        <w:t>）方式的富裕家庭的学生，往往被认为会在学校获得更多成功。这不仅仅是因为他们熟悉所学的材料，还因为他们得到了那些与他们的身份文化相同的教师们的更为积极的评价。后来的研究扩大了文化资本的概念，将一系列文化态度、偏好、知识、行为和商品囊括进来。</w:t>
      </w:r>
      <w:r>
        <w:lastRenderedPageBreak/>
        <w:t>这些［概念］能标识出（</w:t>
      </w:r>
      <w:r>
        <w:t>signal</w:t>
      </w:r>
      <w:r>
        <w:t>）个人在某个场域内部的地位。</w:t>
      </w:r>
      <w:r>
        <w:rPr>
          <w:rStyle w:val="FootnoteReference"/>
        </w:rPr>
        <w:footnoteReference w:id="3"/>
      </w:r>
      <w:r>
        <w:t>这些研究以儿童的语言能力、儿童家中的书籍数量、儿童参加有组织活动的程度、儿童的工作习惯和行为、父母对家庭作业的帮助程度、父母代表孩子去介入事务的程度以及父母对组织流程的了解程度等方式来测量文化资本。</w:t>
      </w:r>
      <w:r>
        <w:rPr>
          <w:rStyle w:val="FootnoteReference"/>
        </w:rPr>
        <w:footnoteReference w:id="4"/>
      </w:r>
      <w:r>
        <w:t>然而，对于文化资本的研究经常常将文化资本视为一种固定的商品。研究者仅通过关注特定的行为（如参加艺术课程、家中拥有书籍、参加课外活动）来测量文化资本，而未能充分考虑这些行为在实践过程中的灵活性。</w:t>
      </w:r>
    </w:p>
    <w:p w14:paraId="7EBB940D" w14:textId="7BDD245B" w:rsidR="00147DB6" w:rsidRDefault="00000000">
      <w:r>
        <w:t>为了澄清文化资本这个不易理解的概念，社会学家安妮特</w:t>
      </w:r>
      <w:r>
        <w:t>·</w:t>
      </w:r>
      <w:r>
        <w:t>拉鲁和埃利奥特</w:t>
      </w:r>
      <w:r>
        <w:t>·</w:t>
      </w:r>
      <w:r>
        <w:t>韦宁格（</w:t>
      </w:r>
      <w:r>
        <w:t>Annette Lareau and Elliot Weininger</w:t>
      </w:r>
      <w:r>
        <w:t>）将文化资本重新定义为一种「微观互动过程，即个人对『知识、技能和能力的策论性运用』与『机构化的评估标准』相接触的过程。」</w:t>
      </w:r>
      <w:r>
        <w:rPr>
          <w:rStyle w:val="FootnoteReference"/>
        </w:rPr>
        <w:footnoteReference w:id="5"/>
      </w:r>
      <w:r>
        <w:t>这一定义强调了文化资本作为一组策略，被某些群体在机构环境中用以获取资源和回报。这种定义方式清楚地表明，文化资本必须在特定环境中被积极运用</w:t>
      </w:r>
      <w:r w:rsidR="002045FE">
        <w:t>──</w:t>
      </w:r>
      <w:r>
        <w:t>布迪厄将这些环境称为「场域」（</w:t>
      </w:r>
      <w:r>
        <w:t>fields</w:t>
      </w:r>
      <w:r>
        <w:t>）。</w:t>
      </w:r>
      <w:r>
        <w:rPr>
          <w:rStyle w:val="FootnoteReference"/>
        </w:rPr>
        <w:footnoteReference w:id="6"/>
      </w:r>
      <w:r>
        <w:t>换句话说，文化资本需要被策略性的运用，而不是被不分场合的通用。要激活文化资本，一个人不仅需要掌握策略或技能，还需要知道何时以及如何使用它们。来自更高社会阶层的孩子们在运用文化资本获取优势的时候有一种「自然感」（</w:t>
      </w:r>
      <w:r>
        <w:t>ease</w:t>
      </w:r>
      <w:r>
        <w:t>），而这种「自然感」无法被轻易模仿。文化资本具身体现（</w:t>
      </w:r>
      <w:r>
        <w:t>embodied</w:t>
      </w:r>
      <w:r>
        <w:t>）于布迪厄所谓的「惯习」（</w:t>
      </w:r>
      <w:r>
        <w:t>habitus</w:t>
      </w:r>
      <w:r>
        <w:t>）中，即一种根深蒂固且无意识的理解周围世界和采取行动的方式。尽管惯习很持久，但也绝非不可改变。</w:t>
      </w:r>
      <w:r>
        <w:rPr>
          <w:rStyle w:val="FootnoteReference"/>
        </w:rPr>
        <w:footnoteReference w:id="7"/>
      </w:r>
      <w:r>
        <w:t xml:space="preserve"> </w:t>
      </w:r>
      <w:r>
        <w:t>若要通过文化资本获益，则必须让文化资</w:t>
      </w:r>
      <w:r>
        <w:lastRenderedPageBreak/>
        <w:t>本在被个人有效运用的同时，被机构有效采纳。</w:t>
      </w:r>
    </w:p>
    <w:p w14:paraId="7D2BA756" w14:textId="4611CF32" w:rsidR="00147DB6" w:rsidRDefault="00000000">
      <w:r>
        <w:t>遵从拉鲁和韦宁格的观点，我提出，文化资本可以被看作是一种互动工具（</w:t>
      </w:r>
      <w:r>
        <w:t>tools of interaction</w:t>
      </w:r>
      <w:r>
        <w:t>）。这种互动工具使某些群体能够有效地应对复杂的机构和不断变化的期望。通过将文化资本定义为互动工具，我突出了其特定性和灵活性（</w:t>
      </w:r>
      <w:r>
        <w:t>specificity and flexibility</w:t>
      </w:r>
      <w:r>
        <w:t>）。与两位学者一样，我强调文化资本是一种取决于特定机构环境的互动资源。在当下这个历史时刻，中产阶级社会机构青睐自信、果敢、勇于表现并为自己的需求发声的人。</w:t>
      </w:r>
      <w:r>
        <w:rPr>
          <w:rStyle w:val="FootnoteReference"/>
        </w:rPr>
        <w:footnoteReference w:id="8"/>
      </w:r>
      <w:r>
        <w:t>这反映了二十世纪后半期［美国］中产阶级文化规范的转变：从追求严格遵守纪律和自我约束转向追求非正式性、灵活性和个性化。</w:t>
      </w:r>
      <w:r>
        <w:rPr>
          <w:rStyle w:val="FootnoteReference"/>
        </w:rPr>
        <w:footnoteReference w:id="9"/>
      </w:r>
      <w:r>
        <w:t>因此，在当下，大学生若需要从财务援助办公室获得有效资源或给教授留下好印象，他们所需的交互工具将会是是积极主动式的技能（</w:t>
      </w:r>
      <w:r>
        <w:t>proactive skills</w:t>
      </w:r>
      <w:r>
        <w:t>）</w:t>
      </w:r>
      <w:r w:rsidR="002045FE">
        <w:t>──</w:t>
      </w:r>
      <w:r>
        <w:t>例如「如何与机构代表谈判」以及「如何自在地面对权威人士，而不是安静坐着并顺从对方」这般的技能。</w:t>
      </w:r>
      <w:r>
        <w:rPr>
          <w:rStyle w:val="FootnoteReference"/>
        </w:rPr>
        <w:footnoteReference w:id="10"/>
      </w:r>
    </w:p>
    <w:p w14:paraId="0EBF8EBF" w14:textId="77777777" w:rsidR="00147DB6" w:rsidRDefault="00000000">
      <w:r>
        <w:t>在将文化资本定义为工具时，我借用了社会学家安</w:t>
      </w:r>
      <w:r>
        <w:t>·</w:t>
      </w:r>
      <w:r>
        <w:t>斯威德勒（</w:t>
      </w:r>
      <w:r>
        <w:t>Ann Swidler</w:t>
      </w:r>
      <w:r>
        <w:t>）的观点。她最早提出了这样一种想法：文化是一种「人们用于构建『行动策略』的『工具箱』，而这种『工具箱』由习惯、技能和风格组成」。</w:t>
      </w:r>
      <w:r>
        <w:rPr>
          <w:rStyle w:val="FootnoteReference"/>
        </w:rPr>
        <w:footnoteReference w:id="11"/>
      </w:r>
      <w:r>
        <w:t>文化可以被看作是一套我们在不同情境中激活的工具，而不是一种预先制定的行为方式。社会行动者并没有生搬硬套一种僵化的脚本（</w:t>
      </w:r>
      <w:r>
        <w:t>script</w:t>
      </w:r>
      <w:r>
        <w:t>），而是拥有「一套启发法，一系列直觉，还有一些肤浅（但又管用，因为它们在大部分时候都有效）而实用的技能。</w:t>
      </w:r>
      <w:r>
        <w:rPr>
          <w:rStyle w:val="FootnoteReference"/>
        </w:rPr>
        <w:lastRenderedPageBreak/>
        <w:footnoteReference w:id="12"/>
      </w:r>
      <w:r>
        <w:t>tfn</w:t>
      </w:r>
      <w:r>
        <w:t>这让人们能够更好地与外部结构、背景情境和制度相互动。」</w:t>
      </w:r>
      <w:r>
        <w:rPr>
          <w:rStyle w:val="FootnoteReference"/>
        </w:rPr>
        <w:footnoteReference w:id="13"/>
      </w:r>
      <w:r>
        <w:t>如果我们要拿运动打个比方，可以这样说，一名足球运动员若想取得成功，需要熟悉比赛规则、掌握正确的技能，并知道何时以及如何运用何种战术。换句话说，互动工具箱包含（</w:t>
      </w:r>
      <w:r>
        <w:t>1</w:t>
      </w:r>
      <w:r>
        <w:t>）关于系统的知识（「比赛规则」），（</w:t>
      </w:r>
      <w:r>
        <w:t>2</w:t>
      </w:r>
      <w:r>
        <w:t>）帮助行动者在该系统中有效行动的技能（包括知道如何变通和革新规则），以及（</w:t>
      </w:r>
      <w:r>
        <w:t>3</w:t>
      </w:r>
      <w:r>
        <w:t>）解读不同情境并运用相应的正确技能的能力（「对比赛的感觉」）。尽管其他学者已经对互动工具箱的这些不同组成部分进行过有益的概念区分，但在本书中，我仍然仅仅将它们作为文化资本的组成部分来加以考虑（而不再加以区分）。原因有以下两点：第一，互动工具箱的不同组成部分难以在实证研究中被清楚地区分开来；第二。这些不同组成部分各自都单独有助于判断个体在互动中是否受到好评。</w:t>
      </w:r>
      <w:r>
        <w:rPr>
          <w:rStyle w:val="FootnoteReference"/>
        </w:rPr>
        <w:footnoteReference w:id="14"/>
      </w:r>
    </w:p>
    <w:p w14:paraId="65D3FCA4" w14:textId="11C271DD" w:rsidR="00147DB6" w:rsidRDefault="00000000">
      <w:r>
        <w:t>中产阶级学生所拥有，并在学校和职场中用来获取优势的文化资本，是一种灵活的工具（而非带来约束的紧身服）。中产阶级学生不仅知道何时应当遵循规则，同时也知道何时应当偏离规则。例如，社会学家杰西卡</w:t>
      </w:r>
      <w:r>
        <w:t>·</w:t>
      </w:r>
      <w:r>
        <w:t>卡拉尔科（</w:t>
      </w:r>
      <w:r>
        <w:t>Jessica Calarco</w:t>
      </w:r>
      <w:r>
        <w:t>）发现，一所小学中的中产阶级孩子不仅仅只是遵循规则，还搞得清楚如何策略性的变通规则以谋取自身利益，从而比工人阶级的同龄人获得更多来自教师的关注、帮助及便利。</w:t>
      </w:r>
      <w:r>
        <w:rPr>
          <w:rStyle w:val="FootnoteReference"/>
        </w:rPr>
        <w:footnoteReference w:id="15"/>
      </w:r>
      <w:r>
        <w:t>家境优渥的学生们不仅学习如何尊重权威，也在同时学习如何与权威自在相处。在对一所精英寄宿学校的研究中，社会学家西莫斯</w:t>
      </w:r>
      <w:r>
        <w:t>·</w:t>
      </w:r>
      <w:r>
        <w:t>可汗（</w:t>
      </w:r>
      <w:r>
        <w:t>Shamus Khan</w:t>
      </w:r>
      <w:r>
        <w:t>）观察到，来自特权家庭的学生通过在正式和非正式场合与成年人的互动，培养出了一种「从容感」（</w:t>
      </w:r>
      <w:r>
        <w:t>sense of ease</w:t>
      </w:r>
      <w:r>
        <w:t>），这让他们为将来走上管</w:t>
      </w:r>
      <w:r>
        <w:lastRenderedPageBreak/>
        <w:t>理层职位事先做好了准备</w:t>
      </w:r>
      <w:r w:rsidR="002045FE">
        <w:t>──</w:t>
      </w:r>
      <w:r>
        <w:t>管理层需要与公司托管人或首席执行官从容自如地互动，不管是在董事会会议室还是酒吧里。</w:t>
      </w:r>
      <w:r>
        <w:rPr>
          <w:rStyle w:val="FootnoteReference"/>
        </w:rPr>
        <w:footnoteReference w:id="16"/>
      </w:r>
    </w:p>
    <w:p w14:paraId="109015D1" w14:textId="77777777" w:rsidR="00147DB6" w:rsidRDefault="00000000">
      <w:r>
        <w:t>如果我们把文化资本理解为互动工具，就会开始看到，像梦想学院这样的零借口学校在以下两个方面可能存在不足。第一个方面是学校试图教授学生的行为类型（即「服从」而非「主动」），另一方面是学校教授这些行为的方式（即通过严格的脚本而非帮助孩子们发展出一套灵活的技能库）。</w:t>
      </w:r>
    </w:p>
    <w:p w14:paraId="02A1BE88" w14:textId="77777777" w:rsidR="00147DB6" w:rsidRDefault="00000000">
      <w:pPr>
        <w:pStyle w:val="Heading1"/>
      </w:pPr>
      <w:bookmarkStart w:id="1" w:name="如何教授文化资本"/>
      <w:bookmarkEnd w:id="0"/>
      <w:r>
        <w:t>如何教授文化资本？</w:t>
      </w:r>
    </w:p>
    <w:p w14:paraId="12172573" w14:textId="77777777" w:rsidR="00147DB6" w:rsidRDefault="00000000">
      <w:r>
        <w:t>文化层面的态度、技能和行为通常在长期家庭社会化的过程中被隐性传递。这个过程既耗资又耗时。传统上，学校并未曾尝试过向不熟悉场域内主导规范的学生传授文化资本。</w:t>
      </w:r>
      <w:r>
        <w:rPr>
          <w:rStyle w:val="FootnoteReference"/>
        </w:rPr>
        <w:footnoteReference w:id="17"/>
      </w:r>
      <w:r>
        <w:t>然而，随着文化资本在促进学生在学校取得成功所起作用被越来越广泛的认可，那些为支持低收入家庭或第一代大学生获取成功的学校机构和课程项目，也开始在直截了当地教授文化资本这件事上下起了功夫。为低收入学生和有色人种学生提供的大学预备项目，如</w:t>
      </w:r>
      <w:r>
        <w:t>Prep for Prep</w:t>
      </w:r>
      <w:r>
        <w:t>、</w:t>
      </w:r>
      <w:r>
        <w:t>A Better Chance</w:t>
      </w:r>
      <w:r>
        <w:t>、</w:t>
      </w:r>
      <w:r>
        <w:t>I Have a Dream</w:t>
      </w:r>
      <w:r>
        <w:t>等，通常会包括一个社会化模块，让学生学习申请大学时的诸多规范以及在校园中与同伴及教员互动时的种种规范。</w:t>
      </w:r>
    </w:p>
    <w:p w14:paraId="1D046F8B" w14:textId="77777777" w:rsidR="00147DB6" w:rsidRDefault="00000000">
      <w:r>
        <w:t>尽管这些项目蓬勃发展，却很少有学者研究它们教授文化资本的方式。</w:t>
      </w:r>
      <w:r>
        <w:rPr>
          <w:rStyle w:val="FootnoteReference"/>
        </w:rPr>
        <w:footnoteReference w:id="18"/>
      </w:r>
      <w:r>
        <w:t>虽然已经有一些研究探讨过教师如何能够在肯定学生自身的文化知识和技能的同时，教授学生场域内的主导规范，但在教学实践过程中，教师往往并不清楚该如何去实施这种文化敏感／相关的教学。</w:t>
      </w:r>
      <w:r>
        <w:rPr>
          <w:rStyle w:val="FootnoteReference"/>
        </w:rPr>
        <w:footnoteReference w:id="19"/>
      </w:r>
      <w:r>
        <w:t>另外，当教师试图教授学生学校里的适当着装、说话或互动方式时，教师往往在无意中加强了关于有色人种和少数族群的负面刻板印象。在这种刻板印象下，这类学生的文化被定义成有缺陷的文化。</w:t>
      </w:r>
      <w:r>
        <w:rPr>
          <w:rStyle w:val="FootnoteReference"/>
        </w:rPr>
        <w:footnoteReference w:id="20"/>
      </w:r>
      <w:r>
        <w:t>最后，即使黑人和拉丁裔学生获得并运用了在场域中占主导地位的文化资本，他们可能仍然无法获得和白人学生同样的回报。这是受制度化的种族主义和内在的隐性种族偏见影响的结果。</w:t>
      </w:r>
      <w:r>
        <w:rPr>
          <w:rStyle w:val="FootnoteReference"/>
        </w:rPr>
        <w:footnoteReference w:id="21"/>
      </w:r>
      <w:r>
        <w:t>社会学家勒欧</w:t>
      </w:r>
      <w:r>
        <w:t>·</w:t>
      </w:r>
      <w:r>
        <w:t>刘易斯</w:t>
      </w:r>
      <w:r>
        <w:t>-</w:t>
      </w:r>
      <w:r>
        <w:t>麦考伊（</w:t>
      </w:r>
      <w:r>
        <w:t>L’Heureux Lewis-McCoy</w:t>
      </w:r>
      <w:r>
        <w:t>）认为，文化资本理论需要将机构的回应方式纳入考虑，特别是种族因素</w:t>
      </w:r>
      <w:r>
        <w:lastRenderedPageBreak/>
        <w:t>如何影响学校对不同群体争取权益和主张的回应方式。</w:t>
      </w:r>
      <w:r>
        <w:rPr>
          <w:rStyle w:val="FootnoteReference"/>
        </w:rPr>
        <w:footnoteReference w:id="22"/>
      </w:r>
      <w:r>
        <w:t>由于这些原因，一些教育领域的学者已经将自己的关注点从文化资本转向像「社区文化财富」（</w:t>
      </w:r>
      <w:r>
        <w:t>community cultural wealth</w:t>
      </w:r>
      <w:r>
        <w:t>）这样的概念。这意味着，这些学者已经将注意力从学生所缺乏的「在场域中占据主导地位的」文化资本，转向了来自「在场域内占非主导地位的群体」的学生所拥有的资源。</w:t>
      </w:r>
      <w:r>
        <w:rPr>
          <w:rStyle w:val="FootnoteReference"/>
        </w:rPr>
        <w:footnoteReference w:id="23"/>
      </w:r>
      <w:r>
        <w:t>社会学家普鲁登斯</w:t>
      </w:r>
      <w:r>
        <w:t>·</w:t>
      </w:r>
      <w:r>
        <w:t>卡特（</w:t>
      </w:r>
      <w:r>
        <w:t>Prudence Carter</w:t>
      </w:r>
      <w:r>
        <w:t>）将社会边缘群体的文化资本称为「非主导文化资本」。</w:t>
      </w:r>
      <w:r>
        <w:rPr>
          <w:rStyle w:val="FootnoteReference"/>
        </w:rPr>
        <w:footnoteReference w:id="24"/>
      </w:r>
    </w:p>
    <w:p w14:paraId="4E37EBE8" w14:textId="5C5FE7EF" w:rsidR="00147DB6" w:rsidRDefault="00000000">
      <w:r>
        <w:t>尽管这些都是将视线从文化资本上挪开的好理由，但我们仍有理由认为，应该向来自占非主导地位的群体的学生直截了当的教授文化资本。在颇具影响力的论文《被消声的对话》中，作者丽莎</w:t>
      </w:r>
      <w:r>
        <w:t>·</w:t>
      </w:r>
      <w:r>
        <w:t>德尔皮特（</w:t>
      </w:r>
      <w:r>
        <w:t>Lisa Delpit</w:t>
      </w:r>
      <w:r>
        <w:t>）作为教育领域内的学者，主张学校应该教育有色人种学生如何掌握「权力的文化」［</w:t>
      </w:r>
      <w:r>
        <w:t xml:space="preserve">culture of power </w:t>
      </w:r>
      <w:r>
        <w:t>］（或文化资本），从而帮助这些学生获得权力。</w:t>
      </w:r>
      <w:r>
        <w:rPr>
          <w:rStyle w:val="FootnoteReference"/>
        </w:rPr>
        <w:footnoteReference w:id="25"/>
      </w:r>
      <w:r>
        <w:t>她认为，学校之所以不教授学生「权力的文化」，是因为白人自由派教育工作者认为，关于规则和期望的明确指导具有过强的规定性（以至于限制了学生的个人自由）。例如，如果告诉学生，他们必须通过</w:t>
      </w:r>
      <w:r>
        <w:t>SLANTing</w:t>
      </w:r>
      <w:r>
        <w:t>来表现出自己的专注力，这就明确传达了「教师的权力大过学生」这一讯息。</w:t>
      </w:r>
      <w:r>
        <w:rPr>
          <w:rStyle w:val="FootnoteReference"/>
        </w:rPr>
        <w:footnoteReference w:id="26"/>
      </w:r>
      <w:r>
        <w:t>然而，德尔皮特认为，学校对「所有学生应当平等的享有自由」这一原则的坚持</w:t>
      </w:r>
      <w:r w:rsidR="002045FE">
        <w:t>──</w:t>
      </w:r>
      <w:r>
        <w:t>也就是中产阶级白人家长期望他们孩子能拥有的</w:t>
      </w:r>
      <w:r w:rsidR="002045FE">
        <w:t>──</w:t>
      </w:r>
      <w:r>
        <w:t>却使学校没能做到教授给所有学生获得权力前所需要事先了解的规则。</w:t>
      </w:r>
    </w:p>
    <w:p w14:paraId="5261F6E7" w14:textId="6742BA40" w:rsidR="00147DB6" w:rsidRDefault="00000000">
      <w:r>
        <w:t>当我们在思考文化资本以及它是否和如何可以被教授时，会发现这里面存在着一组重要的张力关系。直截了当的教授文化资本意味着规定性（</w:t>
      </w:r>
      <w:r>
        <w:t>prescriptive</w:t>
      </w:r>
      <w:r>
        <w:t>）。然而，高度的规定性阻碍了学生对互动的工具的获取</w:t>
      </w:r>
      <w:r w:rsidR="002045FE">
        <w:t>──</w:t>
      </w:r>
      <w:r>
        <w:t>比如在中产阶级机构中目前正受到重视的果断（</w:t>
      </w:r>
      <w:r>
        <w:t>assertiveness</w:t>
      </w:r>
      <w:r>
        <w:t>）、主动（</w:t>
      </w:r>
      <w:r>
        <w:t>initiative</w:t>
      </w:r>
      <w:r>
        <w:t>）和自如（</w:t>
      </w:r>
      <w:r>
        <w:t>ease</w:t>
      </w:r>
      <w:r>
        <w:t>）等工具。规定性也与发展和使用工具所需的灵活性相矛盾。</w:t>
      </w:r>
    </w:p>
    <w:p w14:paraId="1349CAAC" w14:textId="65798698" w:rsidR="00147DB6" w:rsidRDefault="00000000">
      <w:r>
        <w:t>梦想学院所使用的严格行为脚本放大了这些紧张关系。正如我们所看到的，零借口式的行为脚本清楚地阐述了通常并未被明确说明的学校规范，并使得学生更容易学会学校认可的言谈、着装和互动方式。然而，脚本也是极度规定性的，只留给个体学生很小的能动性或适应空间。例如，被要求以</w:t>
      </w:r>
      <w:r>
        <w:t>SLANT</w:t>
      </w:r>
      <w:r>
        <w:t>方式来展现专注力的学生，将无从学会何时以及如何在权威面前从容自如。被严格监控以免出言不逊的学生，将无从学会如何在合适的时间点打断别人。被告知即使被错误</w:t>
      </w:r>
      <w:r>
        <w:lastRenderedPageBreak/>
        <w:t>指控也不要顶嘴的学生，将无从学会如何进行谈判。由于文化是复杂的，情境是难以预测的，个人需要具备阐释性的技能来解读情境，并在可选方案中选择出合适的那个来应对情境</w:t>
      </w:r>
      <w:r w:rsidR="002045FE">
        <w:t>──</w:t>
      </w:r>
      <w:r>
        <w:t>而这些技能很难通过严格的脚本被传授。</w:t>
      </w:r>
    </w:p>
    <w:p w14:paraId="10F0D84B" w14:textId="1F55C317" w:rsidR="00147DB6" w:rsidRDefault="00000000">
      <w:r>
        <w:t>学生若要发展出权益感、主动性和自如感，就需要具备一定程度的自主性、灵活性和平等主义。零借口学校所使用的规定性指令可能会妨碍学生对游戏规则的充分理解和掌握。学校用于传授文化资本的严格脚本可能会阻碍学生对文化资本所包含的诸如积极主动和灵活性这类工具的学习。成为一个称职的学生，更普遍地说，成为一个称职的文化参与者，需要的不仅仅是一份脚本</w:t>
      </w:r>
      <w:r w:rsidR="002045FE">
        <w:t>──</w:t>
      </w:r>
      <w:r>
        <w:t>这需要的是互动工具。</w:t>
      </w:r>
    </w:p>
    <w:p w14:paraId="02A66461" w14:textId="77777777" w:rsidR="00147DB6" w:rsidRDefault="00000000">
      <w:pPr>
        <w:pStyle w:val="Heading1"/>
      </w:pPr>
      <w:bookmarkStart w:id="2" w:name="是资本还是控制"/>
      <w:bookmarkEnd w:id="1"/>
      <w:r>
        <w:t>是资本还是控制？</w:t>
      </w:r>
    </w:p>
    <w:p w14:paraId="44659A61" w14:textId="77777777" w:rsidR="00147DB6" w:rsidRDefault="00000000">
      <w:r>
        <w:t>脚本旨在帮助学校向学生教授学生文化资本，从而让他们取得成功。然而，有时候，在零借口学校，脚本与其说是一种有用的文化资本，倒不如说更像是一种社会控制的手段。鉴于社会控制那带有种族化和阶级化色彩的历史，我们需要透过权力的视角去考量社会对来自历史上曾被边缘化过的群体的学生所施加的任何强烈社会控制。这就是零借口学校的学生布莱恩对学校做法的看法。某天下午的午餐时间，在一个空教室里，我采访了八年级的拉丁裔学生布莱恩和他的女朋友安吉。当我们谈到他们不喜欢哪些学校规则时，布莱恩提到了</w:t>
      </w:r>
      <w:r>
        <w:t>SLANT</w:t>
      </w:r>
      <w:r>
        <w:t>。他认为，</w:t>
      </w:r>
      <w:r>
        <w:t>SLANT</w:t>
      </w:r>
      <w:r>
        <w:t>是学校「压制」（</w:t>
      </w:r>
      <w:r>
        <w:t>overpower</w:t>
      </w:r>
      <w:r>
        <w:t>）学生的另一种方式，而不是帮助他们提升专注力的方法。他坚称：「现在，</w:t>
      </w:r>
      <w:r>
        <w:t>SLANT</w:t>
      </w:r>
      <w:r>
        <w:t>是权力的另一个代名词。</w:t>
      </w:r>
      <w:r>
        <w:t>S-L-A-N-T</w:t>
      </w:r>
      <w:r>
        <w:t>，</w:t>
      </w:r>
      <w:r>
        <w:t>P-O-W-E-R</w:t>
      </w:r>
      <w:r>
        <w:t>，同样都是五个字母。」安吉对此表示赞同，她认为应该用耳朵去倾听，而不是用眼睛和手。像布莱恩和安吉这样的学生认为，</w:t>
      </w:r>
      <w:r>
        <w:t>SLANT</w:t>
      </w:r>
      <w:r>
        <w:t>这类学校脚本是学校对他们的身体进行极端操控的一个例子，而不是帮助他们学习的一种方式。</w:t>
      </w:r>
    </w:p>
    <w:p w14:paraId="08E05D7A" w14:textId="77777777" w:rsidR="00147DB6" w:rsidRDefault="00000000">
      <w:r>
        <w:t>通过这个视角，我们可以这样理解零借口学校推行的严格行为脚本：它与通过社会控制、监视和惩罚等手段来管理有色贫困青少年的悠久历史相一致。长久以来，贫困人群一直被认为是难以对付的、需要被指导和被改革的。从刑事制度到福利国家制度，国家在管控贫困人群方面有着悠久的历史。通过「扭曲的参与」（</w:t>
      </w:r>
      <w:r>
        <w:t>distorted engagement</w:t>
      </w:r>
      <w:r>
        <w:t>），社会学家帕特里夏</w:t>
      </w:r>
      <w:r>
        <w:t>·</w:t>
      </w:r>
      <w:r>
        <w:t>费尔南德斯</w:t>
      </w:r>
      <w:r>
        <w:t>-</w:t>
      </w:r>
      <w:r>
        <w:t>凯利（</w:t>
      </w:r>
      <w:r>
        <w:t>Patricia Fernández-Kelly</w:t>
      </w:r>
      <w:r>
        <w:t>）认为，「贫困个体自幼就学会把自己看作是被规章制度监管和被社会讨论的对象。这些规章制度和讨论如此严苛有害，以至于激发了更多社会对穷人的操控、抵抗和规避。」</w:t>
      </w:r>
      <w:r>
        <w:rPr>
          <w:rStyle w:val="FootnoteReference"/>
        </w:rPr>
        <w:footnoteReference w:id="27"/>
      </w:r>
      <w:r>
        <w:t>当中产阶级人群以一定程度的自主权和权益意识与国家机构打交道时，贫困人群却在被这些国家机构监视和控制。自</w:t>
      </w:r>
      <w:r>
        <w:t>1970</w:t>
      </w:r>
      <w:r>
        <w:t>年代以来，新自由主义改革增加了中产阶级人群的个人自由和消费选择。与此同时，社会安全网不断受到侵蚀，国家机构对贫困群体和社会边缘群体的控制也变得更为严格。</w:t>
      </w:r>
      <w:r>
        <w:rPr>
          <w:rStyle w:val="FootnoteReference"/>
        </w:rPr>
        <w:footnoteReference w:id="28"/>
      </w:r>
    </w:p>
    <w:p w14:paraId="226EBA75" w14:textId="3CECF84E" w:rsidR="00147DB6" w:rsidRDefault="00000000">
      <w:r>
        <w:lastRenderedPageBreak/>
        <w:t>种族与社会控制也密切相关。社会学家华康德（</w:t>
      </w:r>
      <w:r>
        <w:t>Loïc Wacquant</w:t>
      </w:r>
      <w:r>
        <w:t>）指出，在美国历史上有四个社会制度曾被用来限制和禁锢非洲裔美国人：奴隶制、南部地区的吉姆</w:t>
      </w:r>
      <w:r>
        <w:t>·</w:t>
      </w:r>
      <w:r>
        <w:t>克劳法案（</w:t>
      </w:r>
      <w:r>
        <w:t>Jim Crow South</w:t>
      </w:r>
      <w:r>
        <w:t>）、城市贫民窟、监狱。</w:t>
      </w:r>
      <w:r>
        <w:rPr>
          <w:rStyle w:val="FootnoteReference"/>
        </w:rPr>
        <w:footnoteReference w:id="29"/>
      </w:r>
      <w:r>
        <w:t>然而，除了这四个社会制度，学校也已经成为通过各种机构来控制和刑事化黑人和拉丁裔青少年的综合体的一部分</w:t>
      </w:r>
      <w:r w:rsidR="002045FE">
        <w:t>──</w:t>
      </w:r>
      <w:r>
        <w:t>社会学家维克多</w:t>
      </w:r>
      <w:r>
        <w:t>·</w:t>
      </w:r>
      <w:r>
        <w:t>里奥斯（</w:t>
      </w:r>
      <w:r>
        <w:t>Victor Rios</w:t>
      </w:r>
      <w:r>
        <w:t>）将这种综合体称之为「青少年控制综合体」。</w:t>
      </w:r>
      <w:r>
        <w:rPr>
          <w:rStyle w:val="FootnoteReference"/>
        </w:rPr>
        <w:footnoteReference w:id="30"/>
      </w:r>
      <w:r>
        <w:t>从</w:t>
      </w:r>
      <w:r>
        <w:t>1980</w:t>
      </w:r>
      <w:r>
        <w:t>年代和</w:t>
      </w:r>
      <w:r>
        <w:t>90</w:t>
      </w:r>
      <w:r>
        <w:t>年代开始，学校</w:t>
      </w:r>
      <w:r w:rsidR="002045FE">
        <w:t>──</w:t>
      </w:r>
      <w:r>
        <w:t>尤其是为有色人种青少年服务的城市学校</w:t>
      </w:r>
      <w:r w:rsidR="002045FE">
        <w:t>──</w:t>
      </w:r>
      <w:r>
        <w:t>开始像监狱一样通过金属探测器、监控摄像头和穿制服的警察来建立控制。这几十年来，学校中还出现了零容忍政策，要求将沾染毒品和犯下暴力违规过失的学生停课或开除。然而，这些政策却被广泛应用于更轻微的不端行为，甚至被应用于旷课。</w:t>
      </w:r>
      <w:r>
        <w:rPr>
          <w:rStyle w:val="FootnoteReference"/>
        </w:rPr>
        <w:footnoteReference w:id="31"/>
      </w:r>
      <w:r>
        <w:t>大量研究发现，学校纪律的加强对黑人和拉丁裔学生的影响尤为严重，这些学生的暂令停学率在</w:t>
      </w:r>
      <w:r>
        <w:t>1970</w:t>
      </w:r>
      <w:r>
        <w:t>年代初和</w:t>
      </w:r>
      <w:r>
        <w:t>21</w:t>
      </w:r>
      <w:r>
        <w:t>世纪初之间猛增。</w:t>
      </w:r>
      <w:r>
        <w:rPr>
          <w:rStyle w:val="FootnoteReference"/>
        </w:rPr>
        <w:footnoteReference w:id="32"/>
      </w:r>
      <w:r>
        <w:t>对学校纪律的研究发现，黑人男性尤其受到更频繁和更严厉的惩罚，</w:t>
      </w:r>
      <w:r>
        <w:rPr>
          <w:rStyle w:val="FootnoteReference"/>
        </w:rPr>
        <w:footnoteReference w:id="33"/>
      </w:r>
      <w:r>
        <w:t>他们被认为更具威胁性和侵略性。</w:t>
      </w:r>
      <w:r>
        <w:rPr>
          <w:rStyle w:val="FootnoteReference"/>
        </w:rPr>
        <w:footnoteReference w:id="34"/>
      </w:r>
      <w:r>
        <w:t>与白人学生相比，黑人学生更容易在制造噪音或不尊重他人等评判标准更为主观的行为上被指控违规。相比之下，白人学生更多在评判标准更加客观的违规行为上受到指控，比如吸烟和故意破坏财物</w:t>
      </w:r>
      <w:r>
        <w:rPr>
          <w:rStyle w:val="FootnoteReference"/>
        </w:rPr>
        <w:footnoteReference w:id="35"/>
      </w:r>
    </w:p>
    <w:p w14:paraId="0CF3E9A2" w14:textId="77777777" w:rsidR="00147DB6" w:rsidRDefault="00000000">
      <w:r>
        <w:t>太多位于边缘化社区的城市学校已沦为社会学家佩德罗</w:t>
      </w:r>
      <w:r>
        <w:t>·</w:t>
      </w:r>
      <w:r>
        <w:t>诺格拉（</w:t>
      </w:r>
      <w:r>
        <w:t>Pedro Noguera</w:t>
      </w:r>
      <w:r>
        <w:t>）所说的那种「主要任务不是教育，而是确保监管和控制」的场所。</w:t>
      </w:r>
      <w:r>
        <w:rPr>
          <w:rStyle w:val="FootnoteReference"/>
        </w:rPr>
        <w:footnoteReference w:id="36"/>
      </w:r>
      <w:r>
        <w:t>尽管和许多试图向学生传授文化资本的其他项目一样，零借口学校的主要职责是为学生提供进入大学所需的知识和技能，而不是监管和控制学生。但过于严格的行为脚本可能会加强大众关于低收入黑人和拉丁裔学生「不受控制」且需要通过严格纪律来加以管教的说法。</w:t>
      </w:r>
      <w:r>
        <w:rPr>
          <w:rStyle w:val="FootnoteReference"/>
        </w:rPr>
        <w:footnoteReference w:id="37"/>
      </w:r>
      <w:r>
        <w:t>在传统上，学校纪律主要被用于将学生赶出学校并</w:t>
      </w:r>
      <w:r>
        <w:lastRenderedPageBreak/>
        <w:t>排除在学术之外。现在，学校纪律正被视为将学生转变为更有成效的学习者的工具，一种使学生掌握在中产阶级世界中取得成功所需技能和行为的包容性机制。教授文化资本与加强社会控制之间的界限并不容易被划分。在划定这个界限时，学校可能会为了捍卫前者而对后者进行辩护。这样一来，原本被认为是帮助学生实现向上社会流动的行为实践，可能会在对处于脆弱空间中的弱势群体的控制中，反而维持了种族和阶层的统治和从属结构。正如近期的警察枪击事件所揭示的那样，社会对于「黑色和棕色人种的身体是『危险并需要被控制的』」这种负面刻板印象的延续，可能会带来致命的后果。</w:t>
      </w:r>
      <w:bookmarkEnd w:id="2"/>
    </w:p>
    <w:sectPr w:rsidR="00147DB6" w:rsidSect="00E565B8">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A27D9" w14:textId="77777777" w:rsidR="0064080F" w:rsidRDefault="0064080F">
      <w:pPr>
        <w:spacing w:after="0"/>
      </w:pPr>
      <w:r>
        <w:separator/>
      </w:r>
    </w:p>
  </w:endnote>
  <w:endnote w:type="continuationSeparator" w:id="0">
    <w:p w14:paraId="2074A6BB" w14:textId="77777777" w:rsidR="0064080F" w:rsidRDefault="006408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iti SC Light">
    <w:panose1 w:val="02000000000000000000"/>
    <w:charset w:val="80"/>
    <w:family w:val="auto"/>
    <w:pitch w:val="variable"/>
    <w:sig w:usb0="8000002F" w:usb1="0807004A" w:usb2="00000010" w:usb3="00000000" w:csb0="003E0001" w:csb1="00000000"/>
  </w:font>
  <w:font w:name="Kai">
    <w:altName w:val="Microsoft YaHei"/>
    <w:panose1 w:val="00000000000000000000"/>
    <w:charset w:val="86"/>
    <w:family w:val="auto"/>
    <w:pitch w:val="variable"/>
    <w:sig w:usb0="00000001" w:usb1="080E0000" w:usb2="00000010" w:usb3="00000000" w:csb0="00040001" w:csb1="00000000"/>
  </w:font>
  <w:font w:name="Times New Roman (Body CS)">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DCE60" w14:textId="77777777" w:rsidR="0064080F" w:rsidRDefault="0064080F">
      <w:r>
        <w:separator/>
      </w:r>
    </w:p>
  </w:footnote>
  <w:footnote w:type="continuationSeparator" w:id="0">
    <w:p w14:paraId="29ED8E1A" w14:textId="77777777" w:rsidR="0064080F" w:rsidRDefault="0064080F">
      <w:r>
        <w:continuationSeparator/>
      </w:r>
    </w:p>
  </w:footnote>
  <w:footnote w:id="1">
    <w:p w14:paraId="289CB538" w14:textId="77777777" w:rsidR="00147DB6" w:rsidRDefault="00000000">
      <w:pPr>
        <w:pStyle w:val="FootnoteText"/>
      </w:pPr>
      <w:r>
        <w:rPr>
          <w:rStyle w:val="FootnoteReference"/>
        </w:rPr>
        <w:footnoteRef/>
      </w:r>
      <w:r>
        <w:t xml:space="preserve"> Bourdieu</w:t>
      </w:r>
      <w:r>
        <w:t>，</w:t>
      </w:r>
      <w:r>
        <w:t>“School as a Conservative Force”; Bourdieu, Distinction; Bourdieu, “Forms of Capital”</w:t>
      </w:r>
      <w:r>
        <w:t>。</w:t>
      </w:r>
    </w:p>
  </w:footnote>
  <w:footnote w:id="2">
    <w:p w14:paraId="1EE0DE71" w14:textId="77777777" w:rsidR="00147DB6" w:rsidRDefault="00000000">
      <w:pPr>
        <w:pStyle w:val="FootnoteText"/>
      </w:pPr>
      <w:r>
        <w:rPr>
          <w:rStyle w:val="FootnoteReference"/>
        </w:rPr>
        <w:footnoteRef/>
      </w:r>
      <w:r>
        <w:t xml:space="preserve"> Lamont</w:t>
      </w:r>
      <w:r>
        <w:t>和</w:t>
      </w:r>
      <w:r>
        <w:t>Lareau</w:t>
      </w:r>
      <w:r>
        <w:t>在她们对文化资本研究的回顾中（见</w:t>
      </w:r>
      <w:r>
        <w:t>“Cultural Capital”</w:t>
      </w:r>
      <w:r>
        <w:t>一文）将文化资本定义为「被制度化的，即被广泛共享的、来自高阶社会地位的文化信号标识（态度、偏好、正式知识、行为、商品和证书），而这些文化信号被用于制造社会排斥和文化排斥」（</w:t>
      </w:r>
      <w:r>
        <w:t>156</w:t>
      </w:r>
      <w:r>
        <w:t>）。</w:t>
      </w:r>
    </w:p>
  </w:footnote>
  <w:footnote w:id="3">
    <w:p w14:paraId="33C25843" w14:textId="77777777" w:rsidR="00147DB6" w:rsidRDefault="00000000">
      <w:pPr>
        <w:pStyle w:val="FootnoteText"/>
      </w:pPr>
      <w:r>
        <w:rPr>
          <w:rStyle w:val="FootnoteReference"/>
        </w:rPr>
        <w:footnoteRef/>
      </w:r>
      <w:r>
        <w:t xml:space="preserve"> </w:t>
      </w:r>
      <w:r>
        <w:t>对于文化资本在研究中被操作化方式的各种批评，请参见</w:t>
      </w:r>
      <w:r>
        <w:t xml:space="preserve"> Kingston</w:t>
      </w:r>
      <w:r>
        <w:t>，</w:t>
      </w:r>
      <w:r>
        <w:t>“Unfulfilled Promise of Cultural Capital Theory”; Lareau and Weininger</w:t>
      </w:r>
      <w:r>
        <w:t>，</w:t>
      </w:r>
      <w:r>
        <w:t>“Cultural Capital in Educational Research”</w:t>
      </w:r>
      <w:r>
        <w:t>；以及</w:t>
      </w:r>
      <w:r>
        <w:t xml:space="preserve"> Golann and Darling-Aduana</w:t>
      </w:r>
      <w:r>
        <w:t>，</w:t>
      </w:r>
      <w:r>
        <w:t>“Toward a Multifaceted Understanding”</w:t>
      </w:r>
      <w:r>
        <w:t>。</w:t>
      </w:r>
    </w:p>
  </w:footnote>
  <w:footnote w:id="4">
    <w:p w14:paraId="41C0D98E" w14:textId="77777777" w:rsidR="00147DB6" w:rsidRDefault="00000000">
      <w:pPr>
        <w:pStyle w:val="FootnoteText"/>
      </w:pPr>
      <w:r>
        <w:rPr>
          <w:rStyle w:val="FootnoteReference"/>
        </w:rPr>
        <w:footnoteRef/>
      </w:r>
      <w:r>
        <w:t xml:space="preserve"> </w:t>
      </w:r>
      <w:r>
        <w:t>例如，参见</w:t>
      </w:r>
      <w:r>
        <w:t xml:space="preserve"> Bodovski and Farkas, ” ‘Concerted Cultivation’ and Unequal Achievement”</w:t>
      </w:r>
      <w:r>
        <w:t>；</w:t>
      </w:r>
      <w:r>
        <w:t>Roksa and Potter</w:t>
      </w:r>
      <w:r>
        <w:t>，</w:t>
      </w:r>
      <w:r>
        <w:t>“Parenting and Academic Achievement”</w:t>
      </w:r>
      <w:r>
        <w:t>；</w:t>
      </w:r>
      <w:r>
        <w:t>Jæger</w:t>
      </w:r>
      <w:r>
        <w:t>，</w:t>
      </w:r>
      <w:r>
        <w:t>“Does Cultural Capital Really Affect Academic Achievement?”</w:t>
      </w:r>
      <w:r>
        <w:t>；</w:t>
      </w:r>
      <w:r>
        <w:t>Chin and Phillips</w:t>
      </w:r>
      <w:r>
        <w:t>，</w:t>
      </w:r>
      <w:r>
        <w:t>“Social Reproduction and Child-Rearing Practices”</w:t>
      </w:r>
      <w:r>
        <w:t>。</w:t>
      </w:r>
    </w:p>
  </w:footnote>
  <w:footnote w:id="5">
    <w:p w14:paraId="1E6706E9" w14:textId="77777777" w:rsidR="00147DB6" w:rsidRDefault="00000000">
      <w:pPr>
        <w:pStyle w:val="FootnoteText"/>
      </w:pPr>
      <w:r>
        <w:rPr>
          <w:rStyle w:val="FootnoteReference"/>
        </w:rPr>
        <w:footnoteRef/>
      </w:r>
      <w:r>
        <w:t xml:space="preserve"> </w:t>
      </w:r>
      <w:r>
        <w:t>见</w:t>
      </w:r>
      <w:r>
        <w:t xml:space="preserve"> Lareau and Weininger</w:t>
      </w:r>
      <w:r>
        <w:t>，</w:t>
      </w:r>
      <w:r>
        <w:t>“Cultural Capital in Educational Research</w:t>
      </w:r>
      <w:r>
        <w:t>，</w:t>
      </w:r>
      <w:r>
        <w:t>” 569</w:t>
      </w:r>
      <w:r>
        <w:t>。</w:t>
      </w:r>
    </w:p>
  </w:footnote>
  <w:footnote w:id="6">
    <w:p w14:paraId="7180E8D1" w14:textId="77777777" w:rsidR="00147DB6" w:rsidRDefault="00000000">
      <w:pPr>
        <w:pStyle w:val="FootnoteText"/>
      </w:pPr>
      <w:r>
        <w:rPr>
          <w:rStyle w:val="FootnoteReference"/>
        </w:rPr>
        <w:footnoteRef/>
      </w:r>
      <w:r>
        <w:t xml:space="preserve"> </w:t>
      </w:r>
      <w:r>
        <w:t>布迪厄讨论了文化资本是如何与场域（</w:t>
      </w:r>
      <w:r>
        <w:t>field</w:t>
      </w:r>
      <w:r>
        <w:t>）联系在一起的。一个场域可以被认为是一坐社会舞台／竞技场（</w:t>
      </w:r>
      <w:r>
        <w:t>arena</w:t>
      </w:r>
      <w:r>
        <w:t>），参与者通过竞争或合作以获得资源。每个场域都有自己的「游戏／比赛规则」（</w:t>
      </w:r>
      <w:r>
        <w:t>rules of the game</w:t>
      </w:r>
      <w:r>
        <w:t>）和合法行为；不同类型的文化资本在不同场域中得到相应回报。</w:t>
      </w:r>
    </w:p>
  </w:footnote>
  <w:footnote w:id="7">
    <w:p w14:paraId="79708166" w14:textId="68B68BFD" w:rsidR="00147DB6" w:rsidRDefault="00000000">
      <w:pPr>
        <w:pStyle w:val="FootnoteText"/>
      </w:pPr>
      <w:r>
        <w:rPr>
          <w:rStyle w:val="FootnoteReference"/>
        </w:rPr>
        <w:footnoteRef/>
      </w:r>
      <w:r>
        <w:t xml:space="preserve"> </w:t>
      </w:r>
      <w:r>
        <w:t>布迪厄经常将文化资本和惯习放在一起讨论，并有时将惯习定义为具身体现的文化资本。</w:t>
      </w:r>
      <w:r>
        <w:t xml:space="preserve">David Swartz </w:t>
      </w:r>
      <w:r>
        <w:t>在《文化与权力》（</w:t>
      </w:r>
      <w:r>
        <w:rPr>
          <w:i/>
          <w:iCs/>
        </w:rPr>
        <w:t>Culture and Power</w:t>
      </w:r>
      <w:r>
        <w:t>）一书中指出，布迪厄在创立惯习的概念时，借鉴了「习惯」（</w:t>
      </w:r>
      <w:r>
        <w:t>habits</w:t>
      </w:r>
      <w:r>
        <w:t>）这一比基本日常行为（例如刷牙）更广泛的概念。影响一个人一生的思维、互动和欣赏习惯更接近于我们所说的「性情／倾向」（</w:t>
      </w:r>
      <w:r>
        <w:t>dispositions</w:t>
      </w:r>
      <w:r>
        <w:t>）</w:t>
      </w:r>
      <w:r>
        <w:t>。我更喜欢斯威德勒的</w:t>
      </w:r>
      <w:r>
        <w:t>「工具」（</w:t>
      </w:r>
      <w:r>
        <w:t>tools</w:t>
      </w:r>
      <w:r>
        <w:t>）概念这一概念，而不是布迪厄的「惯习」。因为一个人可以在没有深入根植的性情的情况下使用工具</w:t>
      </w:r>
      <w:r w:rsidR="002045FE">
        <w:t>──</w:t>
      </w:r>
      <w:r>
        <w:t>正如我们在语码切换（</w:t>
      </w:r>
      <w:r>
        <w:t>code-switching</w:t>
      </w:r>
      <w:r>
        <w:t>）中看到的那样。同时，我认为「工具」这个概念对一般读者来说更容易被理解。</w:t>
      </w:r>
    </w:p>
  </w:footnote>
  <w:footnote w:id="8">
    <w:p w14:paraId="6C212069" w14:textId="77777777" w:rsidR="00147DB6" w:rsidRDefault="00000000">
      <w:pPr>
        <w:pStyle w:val="FootnoteText"/>
      </w:pPr>
      <w:r>
        <w:rPr>
          <w:rStyle w:val="FootnoteReference"/>
        </w:rPr>
        <w:footnoteRef/>
      </w:r>
      <w:r>
        <w:t xml:space="preserve"> Lareau</w:t>
      </w:r>
      <w:r>
        <w:t>，</w:t>
      </w:r>
      <w:r>
        <w:rPr>
          <w:i/>
          <w:iCs/>
        </w:rPr>
        <w:t>Unequal Childhoods</w:t>
      </w:r>
      <w:r>
        <w:t>。</w:t>
      </w:r>
    </w:p>
  </w:footnote>
  <w:footnote w:id="9">
    <w:p w14:paraId="4DE54DCF" w14:textId="77777777" w:rsidR="00147DB6" w:rsidRDefault="00000000">
      <w:pPr>
        <w:pStyle w:val="FootnoteText"/>
      </w:pPr>
      <w:r>
        <w:rPr>
          <w:rStyle w:val="FootnoteReference"/>
        </w:rPr>
        <w:footnoteRef/>
      </w:r>
      <w:r>
        <w:t xml:space="preserve"> De Keere and Spruyt</w:t>
      </w:r>
      <w:r>
        <w:t>，</w:t>
      </w:r>
      <w:r>
        <w:t>“‘Prophets in the Pay of State’”</w:t>
      </w:r>
      <w:r>
        <w:t>。</w:t>
      </w:r>
    </w:p>
  </w:footnote>
  <w:footnote w:id="10">
    <w:p w14:paraId="70E6ED2A" w14:textId="77777777" w:rsidR="00147DB6" w:rsidRDefault="00000000">
      <w:pPr>
        <w:pStyle w:val="FootnoteText"/>
      </w:pPr>
      <w:r>
        <w:rPr>
          <w:rStyle w:val="FootnoteReference"/>
        </w:rPr>
        <w:footnoteRef/>
      </w:r>
      <w:r>
        <w:t xml:space="preserve"> Jack</w:t>
      </w:r>
      <w:r>
        <w:t>，</w:t>
      </w:r>
      <w:r>
        <w:rPr>
          <w:i/>
          <w:iCs/>
        </w:rPr>
        <w:t>Privileged Poor</w:t>
      </w:r>
      <w:r>
        <w:t>；</w:t>
      </w:r>
      <w:r>
        <w:t>Collier and Morgan</w:t>
      </w:r>
      <w:r>
        <w:t>，</w:t>
      </w:r>
      <w:r>
        <w:t>“‘Is That Paper Really Due Today?’”</w:t>
      </w:r>
      <w:r>
        <w:t>；</w:t>
      </w:r>
      <w:r>
        <w:t>Karp and Bork</w:t>
      </w:r>
      <w:r>
        <w:t>，</w:t>
      </w:r>
      <w:r>
        <w:t>“‘They Never Told Me What to Expect’”</w:t>
      </w:r>
      <w:r>
        <w:t>。</w:t>
      </w:r>
    </w:p>
  </w:footnote>
  <w:footnote w:id="11">
    <w:p w14:paraId="662564D5" w14:textId="77777777" w:rsidR="00147DB6" w:rsidRDefault="00000000">
      <w:pPr>
        <w:pStyle w:val="FootnoteText"/>
      </w:pPr>
      <w:r>
        <w:rPr>
          <w:rStyle w:val="FootnoteReference"/>
        </w:rPr>
        <w:footnoteRef/>
      </w:r>
      <w:r>
        <w:t xml:space="preserve"> Swidler</w:t>
      </w:r>
      <w:r>
        <w:t>，</w:t>
      </w:r>
      <w:r>
        <w:t>“Culture in Action”</w:t>
      </w:r>
      <w:r>
        <w:t>，</w:t>
      </w:r>
      <w:r>
        <w:t>273</w:t>
      </w:r>
      <w:r>
        <w:t>。</w:t>
      </w:r>
    </w:p>
  </w:footnote>
  <w:footnote w:id="12">
    <w:p w14:paraId="439A33E4" w14:textId="77777777" w:rsidR="00147DB6" w:rsidRDefault="00000000">
      <w:pPr>
        <w:pStyle w:val="FootnoteText"/>
      </w:pPr>
      <w:r>
        <w:rPr>
          <w:rStyle w:val="FootnoteReference"/>
        </w:rPr>
        <w:footnoteRef/>
      </w:r>
      <w:r>
        <w:t xml:space="preserve"> </w:t>
      </w:r>
      <w:r>
        <w:t>［译注］</w:t>
      </w:r>
      <w:r>
        <w:t>script</w:t>
      </w:r>
      <w:r>
        <w:t>在社会科学语境下一般被译为「行为脚本」。这个概念最早由心理学家</w:t>
      </w:r>
      <w:r>
        <w:t>Roger Schank</w:t>
      </w:r>
      <w:r>
        <w:t>和</w:t>
      </w:r>
      <w:r>
        <w:t>Robert Abelson</w:t>
      </w:r>
      <w:r>
        <w:t>在他们</w:t>
      </w:r>
      <w:r>
        <w:t>1977</w:t>
      </w:r>
      <w:r>
        <w:t>年的著作</w:t>
      </w:r>
      <w:r>
        <w:t xml:space="preserve"> </w:t>
      </w:r>
      <w:r>
        <w:rPr>
          <w:i/>
          <w:iCs/>
        </w:rPr>
        <w:t>Scripts, Plans, Goals and Understanding: An Inquiry into Human Knowledge Structures</w:t>
      </w:r>
      <w:r>
        <w:t xml:space="preserve"> </w:t>
      </w:r>
      <w:r>
        <w:t>中提出。他们将行为脚本定义为「人们在特定情境中对行为的预设期望或预设模式」。它是一种认知结构，帮助我们理解和预测其他人的行为，同时也引导我们的行为反应。</w:t>
      </w:r>
    </w:p>
    <w:p w14:paraId="0DC59CFB" w14:textId="77777777" w:rsidR="00147DB6" w:rsidRDefault="00000000">
      <w:pPr>
        <w:pStyle w:val="FootnoteText"/>
      </w:pPr>
      <w:r>
        <w:t>在</w:t>
      </w:r>
      <w:r>
        <w:t>Schank</w:t>
      </w:r>
      <w:r>
        <w:t>和</w:t>
      </w:r>
      <w:r>
        <w:t>Abelson</w:t>
      </w:r>
      <w:r>
        <w:t>的研究中，他们假设人们在面对复杂的社会环境时，会依赖一些预设的「脚本」来导向行为，这些脚本基于过去的经验和社会文化规范。</w:t>
      </w:r>
    </w:p>
    <w:p w14:paraId="7123F2EA" w14:textId="77777777" w:rsidR="00147DB6" w:rsidRDefault="00000000">
      <w:pPr>
        <w:pStyle w:val="FootnoteText"/>
      </w:pPr>
      <w:r>
        <w:t>这个概念后来在心理学和其他社会科学领域得到了广泛应用。例如，在社会心理学中，行为脚本被用来解释社会行为和群体行为的预期模式。在人工智能领域，人们也使用类似的概念，比如「情节」或「故事」，来帮助计算机系统理解和模拟人类行为。</w:t>
      </w:r>
    </w:p>
    <w:p w14:paraId="0B2B01E2" w14:textId="77777777" w:rsidR="00147DB6" w:rsidRDefault="00000000">
      <w:pPr>
        <w:pStyle w:val="FootnoteText"/>
      </w:pPr>
      <w:r>
        <w:t>此外，该概念也引发了一些批评和争议。例如，有研究者指出，行为脚本可能过于简化了人类行为的复杂性，并且忽略了人们的主观性和自由意愿。尽管如此，「行为脚本」这个概念仍然是心理学和社会科学中的一个重要工具，用来理解和研究人类行为。</w:t>
      </w:r>
    </w:p>
  </w:footnote>
  <w:footnote w:id="13">
    <w:p w14:paraId="0BF3ECC8" w14:textId="77777777" w:rsidR="00147DB6" w:rsidRDefault="00000000">
      <w:pPr>
        <w:pStyle w:val="FootnoteText"/>
      </w:pPr>
      <w:r>
        <w:rPr>
          <w:rStyle w:val="FootnoteReference"/>
        </w:rPr>
        <w:footnoteRef/>
      </w:r>
      <w:r>
        <w:t xml:space="preserve"> Lizardo and Strand</w:t>
      </w:r>
      <w:r>
        <w:t>，</w:t>
      </w:r>
      <w:r>
        <w:t>“Skills</w:t>
      </w:r>
      <w:r>
        <w:t>，</w:t>
      </w:r>
      <w:r>
        <w:t>Toolkits</w:t>
      </w:r>
      <w:r>
        <w:t>，</w:t>
      </w:r>
      <w:r>
        <w:t>Contexts and Institutions”</w:t>
      </w:r>
      <w:r>
        <w:t>，</w:t>
      </w:r>
      <w:r>
        <w:t>206</w:t>
      </w:r>
      <w:r>
        <w:t>。</w:t>
      </w:r>
    </w:p>
  </w:footnote>
  <w:footnote w:id="14">
    <w:p w14:paraId="27CF788B" w14:textId="77777777" w:rsidR="00147DB6" w:rsidRDefault="00000000">
      <w:pPr>
        <w:pStyle w:val="FootnoteText"/>
      </w:pPr>
      <w:r>
        <w:rPr>
          <w:rStyle w:val="FootnoteReference"/>
        </w:rPr>
        <w:footnoteRef/>
      </w:r>
      <w:r>
        <w:t xml:space="preserve"> </w:t>
      </w:r>
      <w:r>
        <w:t>例如，「对比赛的感觉」就是学者们经常提到的「惯习」。我承认其他学者可能会将「互动工具」称为「次级惯习」，而不是「文化资本」。</w:t>
      </w:r>
    </w:p>
  </w:footnote>
  <w:footnote w:id="15">
    <w:p w14:paraId="5D5035B3" w14:textId="77777777" w:rsidR="00147DB6" w:rsidRDefault="00000000">
      <w:pPr>
        <w:pStyle w:val="FootnoteText"/>
      </w:pPr>
      <w:r>
        <w:rPr>
          <w:rStyle w:val="FootnoteReference"/>
        </w:rPr>
        <w:footnoteRef/>
      </w:r>
      <w:r>
        <w:t xml:space="preserve"> Calarco</w:t>
      </w:r>
      <w:r>
        <w:t>，</w:t>
      </w:r>
      <w:r>
        <w:rPr>
          <w:i/>
          <w:iCs/>
        </w:rPr>
        <w:t>Negotiating Opportunities</w:t>
      </w:r>
      <w:r>
        <w:t>。</w:t>
      </w:r>
    </w:p>
  </w:footnote>
  <w:footnote w:id="16">
    <w:p w14:paraId="6928FF9F" w14:textId="77777777" w:rsidR="00147DB6" w:rsidRDefault="00000000">
      <w:pPr>
        <w:pStyle w:val="FootnoteText"/>
      </w:pPr>
      <w:r>
        <w:rPr>
          <w:rStyle w:val="FootnoteReference"/>
        </w:rPr>
        <w:footnoteRef/>
      </w:r>
      <w:r>
        <w:t xml:space="preserve"> Khan</w:t>
      </w:r>
      <w:r>
        <w:t>，</w:t>
      </w:r>
      <w:r>
        <w:rPr>
          <w:i/>
          <w:iCs/>
        </w:rPr>
        <w:t>Privilege</w:t>
      </w:r>
      <w:r>
        <w:t>。</w:t>
      </w:r>
    </w:p>
  </w:footnote>
  <w:footnote w:id="17">
    <w:p w14:paraId="64E370AB" w14:textId="77777777" w:rsidR="00147DB6" w:rsidRDefault="00000000">
      <w:pPr>
        <w:pStyle w:val="FootnoteText"/>
      </w:pPr>
      <w:r>
        <w:rPr>
          <w:rStyle w:val="FootnoteReference"/>
        </w:rPr>
        <w:footnoteRef/>
      </w:r>
      <w:r>
        <w:t xml:space="preserve"> Bourdieu</w:t>
      </w:r>
      <w:r>
        <w:t>，</w:t>
      </w:r>
      <w:r>
        <w:t>“School as a Conservative Force”</w:t>
      </w:r>
      <w:r>
        <w:t>。</w:t>
      </w:r>
    </w:p>
  </w:footnote>
  <w:footnote w:id="18">
    <w:p w14:paraId="04663E45" w14:textId="77777777" w:rsidR="00147DB6" w:rsidRDefault="00000000">
      <w:pPr>
        <w:pStyle w:val="FootnoteText"/>
      </w:pPr>
      <w:r>
        <w:rPr>
          <w:rStyle w:val="FootnoteReference"/>
        </w:rPr>
        <w:footnoteRef/>
      </w:r>
      <w:r>
        <w:t xml:space="preserve"> </w:t>
      </w:r>
      <w:r>
        <w:t>一个例外，请参见</w:t>
      </w:r>
      <w:r>
        <w:t xml:space="preserve"> Cox</w:t>
      </w:r>
      <w:r>
        <w:t>，</w:t>
      </w:r>
      <w:r>
        <w:t>“Mechanisms of Organizational Commitment”</w:t>
      </w:r>
      <w:r>
        <w:t>。</w:t>
      </w:r>
    </w:p>
  </w:footnote>
  <w:footnote w:id="19">
    <w:p w14:paraId="616F90FD" w14:textId="77777777" w:rsidR="00147DB6" w:rsidRDefault="00000000">
      <w:pPr>
        <w:pStyle w:val="FootnoteText"/>
      </w:pPr>
      <w:r>
        <w:rPr>
          <w:rStyle w:val="FootnoteReference"/>
        </w:rPr>
        <w:footnoteRef/>
      </w:r>
      <w:r>
        <w:t xml:space="preserve"> Sleeter</w:t>
      </w:r>
      <w:r>
        <w:t>，</w:t>
      </w:r>
      <w:r>
        <w:t>“Confronting the Marginalization of Culturally Responsive Pedagogy”</w:t>
      </w:r>
      <w:r>
        <w:t>。</w:t>
      </w:r>
    </w:p>
  </w:footnote>
  <w:footnote w:id="20">
    <w:p w14:paraId="101A3565" w14:textId="77777777" w:rsidR="00147DB6" w:rsidRDefault="00000000">
      <w:pPr>
        <w:pStyle w:val="FootnoteText"/>
      </w:pPr>
      <w:r>
        <w:rPr>
          <w:rStyle w:val="FootnoteReference"/>
        </w:rPr>
        <w:footnoteRef/>
      </w:r>
      <w:r>
        <w:t xml:space="preserve"> Ferguson</w:t>
      </w:r>
      <w:r>
        <w:t>，</w:t>
      </w:r>
      <w:r>
        <w:rPr>
          <w:i/>
          <w:iCs/>
        </w:rPr>
        <w:t>Bad Boys</w:t>
      </w:r>
      <w:r>
        <w:t>；</w:t>
      </w:r>
      <w:r>
        <w:t>Morris</w:t>
      </w:r>
      <w:r>
        <w:t>，</w:t>
      </w:r>
      <w:r>
        <w:t>“ ‘Tuck in That Shirt!’ ”</w:t>
      </w:r>
      <w:r>
        <w:t>；</w:t>
      </w:r>
      <w:r>
        <w:t>Tyson</w:t>
      </w:r>
      <w:r>
        <w:t>，</w:t>
      </w:r>
      <w:r>
        <w:t>“Notes from the Back of the Room”</w:t>
      </w:r>
      <w:r>
        <w:t>；</w:t>
      </w:r>
      <w:r>
        <w:t>Valenzuela</w:t>
      </w:r>
      <w:r>
        <w:t>，</w:t>
      </w:r>
      <w:r>
        <w:rPr>
          <w:i/>
          <w:iCs/>
        </w:rPr>
        <w:t>Subtractive Schooling</w:t>
      </w:r>
      <w:r>
        <w:t>。</w:t>
      </w:r>
    </w:p>
  </w:footnote>
  <w:footnote w:id="21">
    <w:p w14:paraId="587F245A" w14:textId="77777777" w:rsidR="00147DB6" w:rsidRDefault="00000000">
      <w:pPr>
        <w:pStyle w:val="FootnoteText"/>
      </w:pPr>
      <w:r>
        <w:rPr>
          <w:rStyle w:val="FootnoteReference"/>
        </w:rPr>
        <w:footnoteRef/>
      </w:r>
      <w:r>
        <w:t xml:space="preserve"> </w:t>
      </w:r>
      <w:r>
        <w:t>关于种族与文化资本之间的交叉，请参阅</w:t>
      </w:r>
      <w:r>
        <w:t xml:space="preserve"> Richards</w:t>
      </w:r>
      <w:r>
        <w:t>，</w:t>
      </w:r>
      <w:r>
        <w:t>“When Class Is Colorblind”</w:t>
      </w:r>
      <w:r>
        <w:t>。</w:t>
      </w:r>
    </w:p>
  </w:footnote>
  <w:footnote w:id="22">
    <w:p w14:paraId="20A28789" w14:textId="77777777" w:rsidR="00147DB6" w:rsidRDefault="00000000">
      <w:pPr>
        <w:pStyle w:val="FootnoteText"/>
      </w:pPr>
      <w:r>
        <w:rPr>
          <w:rStyle w:val="FootnoteReference"/>
        </w:rPr>
        <w:footnoteRef/>
      </w:r>
      <w:r>
        <w:t xml:space="preserve"> Lewis-McCoy</w:t>
      </w:r>
      <w:r>
        <w:t>，</w:t>
      </w:r>
      <w:r>
        <w:rPr>
          <w:i/>
          <w:iCs/>
        </w:rPr>
        <w:t>Inequality in the Promised Land</w:t>
      </w:r>
      <w:r>
        <w:t>。</w:t>
      </w:r>
    </w:p>
  </w:footnote>
  <w:footnote w:id="23">
    <w:p w14:paraId="16364965" w14:textId="77777777" w:rsidR="00147DB6" w:rsidRDefault="00000000">
      <w:pPr>
        <w:pStyle w:val="FootnoteText"/>
      </w:pPr>
      <w:r>
        <w:rPr>
          <w:rStyle w:val="FootnoteReference"/>
        </w:rPr>
        <w:footnoteRef/>
      </w:r>
      <w:r>
        <w:t xml:space="preserve"> Yosso</w:t>
      </w:r>
      <w:r>
        <w:t>，</w:t>
      </w:r>
      <w:r>
        <w:t>“Whose Culture Has Capital?”</w:t>
      </w:r>
      <w:r>
        <w:t>。</w:t>
      </w:r>
    </w:p>
  </w:footnote>
  <w:footnote w:id="24">
    <w:p w14:paraId="3BAA6B21" w14:textId="77777777" w:rsidR="00147DB6" w:rsidRDefault="00000000">
      <w:pPr>
        <w:pStyle w:val="FootnoteText"/>
      </w:pPr>
      <w:r>
        <w:rPr>
          <w:rStyle w:val="FootnoteReference"/>
        </w:rPr>
        <w:footnoteRef/>
      </w:r>
      <w:r>
        <w:t xml:space="preserve"> Carter</w:t>
      </w:r>
      <w:r>
        <w:t>，</w:t>
      </w:r>
      <w:r>
        <w:t>“ ‘Black’ Cultural Capital”</w:t>
      </w:r>
      <w:r>
        <w:t>。</w:t>
      </w:r>
    </w:p>
  </w:footnote>
  <w:footnote w:id="25">
    <w:p w14:paraId="13DC96C0" w14:textId="77777777" w:rsidR="00147DB6" w:rsidRDefault="00000000">
      <w:pPr>
        <w:pStyle w:val="FootnoteText"/>
      </w:pPr>
      <w:r>
        <w:rPr>
          <w:rStyle w:val="FootnoteReference"/>
        </w:rPr>
        <w:footnoteRef/>
      </w:r>
      <w:r>
        <w:t xml:space="preserve"> Delpit</w:t>
      </w:r>
      <w:r>
        <w:t>，</w:t>
      </w:r>
      <w:r>
        <w:t>“Silenced Dialogue”</w:t>
      </w:r>
      <w:r>
        <w:t>。</w:t>
      </w:r>
    </w:p>
  </w:footnote>
  <w:footnote w:id="26">
    <w:p w14:paraId="108FFB5A" w14:textId="77777777" w:rsidR="00147DB6" w:rsidRDefault="00000000">
      <w:pPr>
        <w:pStyle w:val="FootnoteText"/>
      </w:pPr>
      <w:r>
        <w:rPr>
          <w:rStyle w:val="FootnoteReference"/>
        </w:rPr>
        <w:footnoteRef/>
      </w:r>
      <w:r>
        <w:t xml:space="preserve"> </w:t>
      </w:r>
      <w:r>
        <w:t>［译注］</w:t>
      </w:r>
      <w:r>
        <w:t>SLANT</w:t>
      </w:r>
      <w:r>
        <w:t>是梦想学院使用的一份行为脚本，每个学生都被要求诵记，「</w:t>
      </w:r>
      <w:r>
        <w:t>S</w:t>
      </w:r>
      <w:r>
        <w:t>代表『坐直』（</w:t>
      </w:r>
      <w:r>
        <w:t>sitting up straight</w:t>
      </w:r>
      <w:r>
        <w:t>），</w:t>
      </w:r>
      <w:r>
        <w:t>L</w:t>
      </w:r>
      <w:r>
        <w:t>代表『听』（</w:t>
      </w:r>
      <w:r>
        <w:t>listening</w:t>
      </w:r>
      <w:r>
        <w:t>），</w:t>
      </w:r>
      <w:r>
        <w:t>A</w:t>
      </w:r>
      <w:r>
        <w:t>代表『提问』（</w:t>
      </w:r>
      <w:r>
        <w:t>ask questions</w:t>
      </w:r>
      <w:r>
        <w:t>），</w:t>
      </w:r>
      <w:r>
        <w:t>N</w:t>
      </w:r>
      <w:r>
        <w:t>代表『点头表示理解』（</w:t>
      </w:r>
      <w:r>
        <w:t>nod for understanding</w:t>
      </w:r>
      <w:r>
        <w:t>），</w:t>
      </w:r>
      <w:r>
        <w:t>T</w:t>
      </w:r>
      <w:r>
        <w:t>代表『紧随发言者』（</w:t>
      </w:r>
      <w:r>
        <w:t>track the speaker</w:t>
      </w:r>
      <w:r>
        <w:t>）」。老师们认为让学生掌握</w:t>
      </w:r>
      <w:r>
        <w:t>SLANT</w:t>
      </w:r>
      <w:r>
        <w:t>，会让他们「更学术」「更专注」「更聪明」。</w:t>
      </w:r>
    </w:p>
  </w:footnote>
  <w:footnote w:id="27">
    <w:p w14:paraId="7EAA56A0" w14:textId="77777777" w:rsidR="00147DB6" w:rsidRDefault="00000000">
      <w:pPr>
        <w:pStyle w:val="FootnoteText"/>
      </w:pPr>
      <w:r>
        <w:rPr>
          <w:rStyle w:val="FootnoteReference"/>
        </w:rPr>
        <w:footnoteRef/>
      </w:r>
      <w:r>
        <w:t xml:space="preserve"> Fernández-Kelly</w:t>
      </w:r>
      <w:r>
        <w:t>，</w:t>
      </w:r>
      <w:r>
        <w:rPr>
          <w:i/>
          <w:iCs/>
        </w:rPr>
        <w:t>Hero’s Fight</w:t>
      </w:r>
      <w:r>
        <w:t>，</w:t>
      </w:r>
      <w:r>
        <w:t>117–18</w:t>
      </w:r>
      <w:r>
        <w:t>。</w:t>
      </w:r>
    </w:p>
  </w:footnote>
  <w:footnote w:id="28">
    <w:p w14:paraId="67CA3B66" w14:textId="77777777" w:rsidR="00147DB6" w:rsidRDefault="00000000">
      <w:pPr>
        <w:pStyle w:val="FootnoteText"/>
      </w:pPr>
      <w:r>
        <w:rPr>
          <w:rStyle w:val="FootnoteReference"/>
        </w:rPr>
        <w:footnoteRef/>
      </w:r>
      <w:r>
        <w:t xml:space="preserve"> </w:t>
      </w:r>
      <w:r>
        <w:t>参见</w:t>
      </w:r>
      <w:r>
        <w:t xml:space="preserve"> Garland, </w:t>
      </w:r>
      <w:r>
        <w:rPr>
          <w:i/>
          <w:iCs/>
        </w:rPr>
        <w:t>Culture of Control</w:t>
      </w:r>
      <w:r>
        <w:t>。</w:t>
      </w:r>
    </w:p>
  </w:footnote>
  <w:footnote w:id="29">
    <w:p w14:paraId="54559AE2" w14:textId="77777777" w:rsidR="00147DB6" w:rsidRDefault="00000000">
      <w:pPr>
        <w:pStyle w:val="FootnoteText"/>
      </w:pPr>
      <w:r>
        <w:rPr>
          <w:rStyle w:val="FootnoteReference"/>
        </w:rPr>
        <w:footnoteRef/>
      </w:r>
      <w:r>
        <w:t xml:space="preserve"> Wacquant</w:t>
      </w:r>
      <w:r>
        <w:t>，</w:t>
      </w:r>
      <w:r>
        <w:t>“Deadly Symbiosis”</w:t>
      </w:r>
      <w:r>
        <w:t>。</w:t>
      </w:r>
    </w:p>
  </w:footnote>
  <w:footnote w:id="30">
    <w:p w14:paraId="7323C057" w14:textId="77777777" w:rsidR="00147DB6" w:rsidRDefault="00000000">
      <w:pPr>
        <w:pStyle w:val="FootnoteText"/>
      </w:pPr>
      <w:r>
        <w:rPr>
          <w:rStyle w:val="FootnoteReference"/>
        </w:rPr>
        <w:footnoteRef/>
      </w:r>
      <w:r>
        <w:t xml:space="preserve"> </w:t>
      </w:r>
      <w:r>
        <w:t>在《受惩罚》</w:t>
      </w:r>
      <w:r>
        <w:t>(</w:t>
      </w:r>
      <w:r>
        <w:rPr>
          <w:i/>
          <w:iCs/>
        </w:rPr>
        <w:t>Punished</w:t>
      </w:r>
      <w:r>
        <w:t>)</w:t>
      </w:r>
      <w:r>
        <w:t>一书中，里奥斯（</w:t>
      </w:r>
      <w:r>
        <w:t>Rios</w:t>
      </w:r>
      <w:r>
        <w:t>）将「青年控制综合体」（</w:t>
      </w:r>
      <w:r>
        <w:t>youth control complex</w:t>
      </w:r>
      <w:r>
        <w:t>）定义为「由社会化和社会控制机构施加的、同步化和系统化的惩罚塑造的，无处不在的定罪系统」（</w:t>
      </w:r>
      <w:r>
        <w:t>40</w:t>
      </w:r>
      <w:r>
        <w:t>）。</w:t>
      </w:r>
    </w:p>
  </w:footnote>
  <w:footnote w:id="31">
    <w:p w14:paraId="3D96CD8E" w14:textId="77777777" w:rsidR="00147DB6" w:rsidRDefault="00000000">
      <w:pPr>
        <w:pStyle w:val="FootnoteText"/>
      </w:pPr>
      <w:r>
        <w:rPr>
          <w:rStyle w:val="FootnoteReference"/>
        </w:rPr>
        <w:footnoteRef/>
      </w:r>
      <w:r>
        <w:t xml:space="preserve"> Skiba and Peterson</w:t>
      </w:r>
      <w:r>
        <w:t>，</w:t>
      </w:r>
      <w:r>
        <w:t>“Dark Side of Zero Tolerance”</w:t>
      </w:r>
      <w:r>
        <w:t>。</w:t>
      </w:r>
    </w:p>
  </w:footnote>
  <w:footnote w:id="32">
    <w:p w14:paraId="5D58957A" w14:textId="77777777" w:rsidR="00147DB6" w:rsidRDefault="00000000">
      <w:pPr>
        <w:pStyle w:val="FootnoteText"/>
      </w:pPr>
      <w:r>
        <w:rPr>
          <w:rStyle w:val="FootnoteReference"/>
        </w:rPr>
        <w:footnoteRef/>
      </w:r>
      <w:r>
        <w:t xml:space="preserve"> Losen et al.</w:t>
      </w:r>
      <w:r>
        <w:t>，</w:t>
      </w:r>
      <w:r>
        <w:rPr>
          <w:i/>
          <w:iCs/>
        </w:rPr>
        <w:t>Are We Closing the School Discipline Gap?</w:t>
      </w:r>
    </w:p>
  </w:footnote>
  <w:footnote w:id="33">
    <w:p w14:paraId="2A6B61CF" w14:textId="77777777" w:rsidR="00147DB6" w:rsidRDefault="00000000">
      <w:pPr>
        <w:pStyle w:val="FootnoteText"/>
      </w:pPr>
      <w:r>
        <w:rPr>
          <w:rStyle w:val="FootnoteReference"/>
        </w:rPr>
        <w:footnoteRef/>
      </w:r>
      <w:r>
        <w:t xml:space="preserve"> Skiba et al.</w:t>
      </w:r>
      <w:r>
        <w:t>，</w:t>
      </w:r>
      <w:r>
        <w:t>“Color of Discipline”</w:t>
      </w:r>
      <w:r>
        <w:t>；</w:t>
      </w:r>
      <w:r>
        <w:t>Welch and Payne</w:t>
      </w:r>
      <w:r>
        <w:t>，</w:t>
      </w:r>
      <w:r>
        <w:t>“Racial Threat and Punitive School Discipline”</w:t>
      </w:r>
      <w:r>
        <w:t>；</w:t>
      </w:r>
      <w:r>
        <w:t>Gregory</w:t>
      </w:r>
      <w:r>
        <w:t>，</w:t>
      </w:r>
      <w:r>
        <w:t>Skiba</w:t>
      </w:r>
      <w:r>
        <w:t>，</w:t>
      </w:r>
      <w:r>
        <w:t>and Noguera</w:t>
      </w:r>
      <w:r>
        <w:t>，</w:t>
      </w:r>
      <w:r>
        <w:t>“Achievement Gap and the Discipline Gap”</w:t>
      </w:r>
      <w:r>
        <w:t>；</w:t>
      </w:r>
      <w:r>
        <w:t>Lewis and Diamond</w:t>
      </w:r>
      <w:r>
        <w:t>，</w:t>
      </w:r>
      <w:r>
        <w:rPr>
          <w:i/>
          <w:iCs/>
        </w:rPr>
        <w:t>Despite the Best Intentions</w:t>
      </w:r>
      <w:r>
        <w:t>.</w:t>
      </w:r>
    </w:p>
  </w:footnote>
  <w:footnote w:id="34">
    <w:p w14:paraId="7493F8AB" w14:textId="77777777" w:rsidR="00147DB6" w:rsidRDefault="00000000">
      <w:pPr>
        <w:pStyle w:val="FootnoteText"/>
      </w:pPr>
      <w:r>
        <w:rPr>
          <w:rStyle w:val="FootnoteReference"/>
        </w:rPr>
        <w:footnoteRef/>
      </w:r>
      <w:r>
        <w:t xml:space="preserve"> Morris</w:t>
      </w:r>
      <w:r>
        <w:t>，</w:t>
      </w:r>
      <w:r>
        <w:t>“ ‘Tuck in that Shirt!’ ”</w:t>
      </w:r>
      <w:r>
        <w:t>；</w:t>
      </w:r>
      <w:r>
        <w:t>Ferguson</w:t>
      </w:r>
      <w:r>
        <w:t>，</w:t>
      </w:r>
      <w:r>
        <w:rPr>
          <w:i/>
          <w:iCs/>
        </w:rPr>
        <w:t>Bad Boys</w:t>
      </w:r>
      <w:r>
        <w:t>；</w:t>
      </w:r>
      <w:r>
        <w:t>Gregory and Weinstein</w:t>
      </w:r>
      <w:r>
        <w:t>，</w:t>
      </w:r>
      <w:r>
        <w:t>“Discipline Gap and African Americans.”</w:t>
      </w:r>
    </w:p>
  </w:footnote>
  <w:footnote w:id="35">
    <w:p w14:paraId="6BB7BA58" w14:textId="77777777" w:rsidR="00147DB6" w:rsidRDefault="00000000">
      <w:pPr>
        <w:pStyle w:val="FootnoteText"/>
      </w:pPr>
      <w:r>
        <w:rPr>
          <w:rStyle w:val="FootnoteReference"/>
        </w:rPr>
        <w:footnoteRef/>
      </w:r>
      <w:r>
        <w:t xml:space="preserve"> Skiba et al.</w:t>
      </w:r>
      <w:r>
        <w:t>，</w:t>
      </w:r>
      <w:r>
        <w:t>“Color of Discipline.”</w:t>
      </w:r>
    </w:p>
  </w:footnote>
  <w:footnote w:id="36">
    <w:p w14:paraId="0274B67D" w14:textId="77777777" w:rsidR="00147DB6" w:rsidRDefault="00000000">
      <w:pPr>
        <w:pStyle w:val="FootnoteText"/>
      </w:pPr>
      <w:r>
        <w:rPr>
          <w:rStyle w:val="FootnoteReference"/>
        </w:rPr>
        <w:footnoteRef/>
      </w:r>
      <w:r>
        <w:t xml:space="preserve"> Noguera</w:t>
      </w:r>
      <w:r>
        <w:t>，</w:t>
      </w:r>
      <w:r>
        <w:rPr>
          <w:i/>
          <w:iCs/>
        </w:rPr>
        <w:t>Trouble with Black Boys</w:t>
      </w:r>
      <w:r>
        <w:t>。参见</w:t>
      </w:r>
      <w:r>
        <w:t xml:space="preserve"> Saltman and Gabbard</w:t>
      </w:r>
      <w:r>
        <w:t>，</w:t>
      </w:r>
      <w:r>
        <w:rPr>
          <w:i/>
          <w:iCs/>
        </w:rPr>
        <w:t>Education as Enforcement</w:t>
      </w:r>
      <w:r>
        <w:t>。</w:t>
      </w:r>
    </w:p>
  </w:footnote>
  <w:footnote w:id="37">
    <w:p w14:paraId="528977E8" w14:textId="77777777" w:rsidR="00147DB6" w:rsidRDefault="00000000">
      <w:pPr>
        <w:pStyle w:val="FootnoteText"/>
      </w:pPr>
      <w:r>
        <w:rPr>
          <w:rStyle w:val="FootnoteReference"/>
        </w:rPr>
        <w:footnoteRef/>
      </w:r>
      <w:r>
        <w:t xml:space="preserve"> Milner et al., “These Kids Are Out of Control”</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8F8F9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C94ED4"/>
    <w:multiLevelType w:val="hybridMultilevel"/>
    <w:tmpl w:val="88A49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9155A"/>
    <w:multiLevelType w:val="hybridMultilevel"/>
    <w:tmpl w:val="2BE43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1D0BAC"/>
    <w:multiLevelType w:val="hybridMultilevel"/>
    <w:tmpl w:val="00144908"/>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7BD01CB4"/>
    <w:multiLevelType w:val="hybridMultilevel"/>
    <w:tmpl w:val="9EF2253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2015185973">
    <w:abstractNumId w:val="3"/>
  </w:num>
  <w:num w:numId="2" w16cid:durableId="1689715613">
    <w:abstractNumId w:val="4"/>
  </w:num>
  <w:num w:numId="3" w16cid:durableId="1866015540">
    <w:abstractNumId w:val="1"/>
  </w:num>
  <w:num w:numId="4" w16cid:durableId="866675348">
    <w:abstractNumId w:val="2"/>
  </w:num>
  <w:num w:numId="5" w16cid:durableId="156980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DB6"/>
    <w:rsid w:val="00147DB6"/>
    <w:rsid w:val="002045FE"/>
    <w:rsid w:val="006408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138F"/>
  <w15:docId w15:val="{044BE29D-C143-DB43-93AF-00BBD6AA7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990"/>
    <w:pPr>
      <w:widowControl w:val="0"/>
      <w:spacing w:after="240"/>
      <w:ind w:firstLine="420"/>
      <w:jc w:val="both"/>
    </w:pPr>
  </w:style>
  <w:style w:type="paragraph" w:styleId="Heading1">
    <w:name w:val="heading 1"/>
    <w:basedOn w:val="Normal"/>
    <w:next w:val="Normal"/>
    <w:link w:val="Heading1Char"/>
    <w:uiPriority w:val="9"/>
    <w:qFormat/>
    <w:rsid w:val="0077284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728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3185B"/>
    <w:pPr>
      <w:keepNext/>
      <w:keepLines/>
      <w:spacing w:before="4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unhideWhenUsed/>
    <w:qFormat/>
    <w:rsid w:val="0033185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3319"/>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373319"/>
    <w:rPr>
      <w:rFonts w:ascii="Heiti SC Light" w:eastAsia="Heiti SC Light"/>
      <w:sz w:val="18"/>
      <w:szCs w:val="18"/>
    </w:rPr>
  </w:style>
  <w:style w:type="character" w:styleId="Hyperlink">
    <w:name w:val="Hyperlink"/>
    <w:basedOn w:val="DefaultParagraphFont"/>
    <w:uiPriority w:val="99"/>
    <w:unhideWhenUsed/>
    <w:rsid w:val="00456E1C"/>
    <w:rPr>
      <w:color w:val="0000FF" w:themeColor="hyperlink"/>
      <w:u w:val="single"/>
    </w:rPr>
  </w:style>
  <w:style w:type="character" w:styleId="CommentReference">
    <w:name w:val="annotation reference"/>
    <w:basedOn w:val="DefaultParagraphFont"/>
    <w:uiPriority w:val="99"/>
    <w:semiHidden/>
    <w:unhideWhenUsed/>
    <w:rsid w:val="00084DC6"/>
    <w:rPr>
      <w:sz w:val="16"/>
      <w:szCs w:val="16"/>
    </w:rPr>
  </w:style>
  <w:style w:type="paragraph" w:styleId="CommentText">
    <w:name w:val="annotation text"/>
    <w:basedOn w:val="Normal"/>
    <w:link w:val="CommentTextChar"/>
    <w:uiPriority w:val="99"/>
    <w:semiHidden/>
    <w:unhideWhenUsed/>
    <w:rsid w:val="00084DC6"/>
    <w:rPr>
      <w:sz w:val="20"/>
      <w:szCs w:val="20"/>
    </w:rPr>
  </w:style>
  <w:style w:type="character" w:customStyle="1" w:styleId="CommentTextChar">
    <w:name w:val="Comment Text Char"/>
    <w:basedOn w:val="DefaultParagraphFont"/>
    <w:link w:val="CommentText"/>
    <w:uiPriority w:val="99"/>
    <w:semiHidden/>
    <w:rsid w:val="00084DC6"/>
    <w:rPr>
      <w:sz w:val="20"/>
      <w:szCs w:val="20"/>
    </w:rPr>
  </w:style>
  <w:style w:type="paragraph" w:styleId="CommentSubject">
    <w:name w:val="annotation subject"/>
    <w:basedOn w:val="CommentText"/>
    <w:next w:val="CommentText"/>
    <w:link w:val="CommentSubjectChar"/>
    <w:uiPriority w:val="99"/>
    <w:semiHidden/>
    <w:unhideWhenUsed/>
    <w:rsid w:val="00084DC6"/>
    <w:rPr>
      <w:b/>
      <w:bCs/>
    </w:rPr>
  </w:style>
  <w:style w:type="character" w:customStyle="1" w:styleId="CommentSubjectChar">
    <w:name w:val="Comment Subject Char"/>
    <w:basedOn w:val="CommentTextChar"/>
    <w:link w:val="CommentSubject"/>
    <w:uiPriority w:val="99"/>
    <w:semiHidden/>
    <w:rsid w:val="00084DC6"/>
    <w:rPr>
      <w:b/>
      <w:bCs/>
      <w:sz w:val="20"/>
      <w:szCs w:val="20"/>
    </w:rPr>
  </w:style>
  <w:style w:type="paragraph" w:styleId="FootnoteText">
    <w:name w:val="footnote text"/>
    <w:basedOn w:val="Normal"/>
    <w:link w:val="FootnoteTextChar"/>
    <w:uiPriority w:val="99"/>
    <w:unhideWhenUsed/>
    <w:rsid w:val="001F6F79"/>
    <w:rPr>
      <w:sz w:val="20"/>
      <w:szCs w:val="20"/>
    </w:rPr>
  </w:style>
  <w:style w:type="character" w:customStyle="1" w:styleId="FootnoteTextChar">
    <w:name w:val="Footnote Text Char"/>
    <w:basedOn w:val="DefaultParagraphFont"/>
    <w:link w:val="FootnoteText"/>
    <w:uiPriority w:val="99"/>
    <w:rsid w:val="001F6F79"/>
    <w:rPr>
      <w:sz w:val="20"/>
      <w:szCs w:val="20"/>
    </w:rPr>
  </w:style>
  <w:style w:type="character" w:styleId="FootnoteReference">
    <w:name w:val="footnote reference"/>
    <w:basedOn w:val="DefaultParagraphFont"/>
    <w:uiPriority w:val="99"/>
    <w:unhideWhenUsed/>
    <w:rsid w:val="001F6F79"/>
    <w:rPr>
      <w:vertAlign w:val="superscript"/>
    </w:rPr>
  </w:style>
  <w:style w:type="character" w:styleId="FollowedHyperlink">
    <w:name w:val="FollowedHyperlink"/>
    <w:basedOn w:val="DefaultParagraphFont"/>
    <w:uiPriority w:val="99"/>
    <w:semiHidden/>
    <w:unhideWhenUsed/>
    <w:rsid w:val="00B44E45"/>
    <w:rPr>
      <w:color w:val="800080" w:themeColor="followedHyperlink"/>
      <w:u w:val="single"/>
    </w:rPr>
  </w:style>
  <w:style w:type="paragraph" w:styleId="Header">
    <w:name w:val="header"/>
    <w:basedOn w:val="Normal"/>
    <w:link w:val="HeaderChar"/>
    <w:uiPriority w:val="99"/>
    <w:unhideWhenUsed/>
    <w:rsid w:val="00F272C8"/>
    <w:pPr>
      <w:tabs>
        <w:tab w:val="center" w:pos="4680"/>
        <w:tab w:val="right" w:pos="9360"/>
      </w:tabs>
    </w:pPr>
  </w:style>
  <w:style w:type="character" w:customStyle="1" w:styleId="HeaderChar">
    <w:name w:val="Header Char"/>
    <w:basedOn w:val="DefaultParagraphFont"/>
    <w:link w:val="Header"/>
    <w:uiPriority w:val="99"/>
    <w:rsid w:val="00F272C8"/>
  </w:style>
  <w:style w:type="paragraph" w:styleId="Footer">
    <w:name w:val="footer"/>
    <w:basedOn w:val="Normal"/>
    <w:link w:val="FooterChar"/>
    <w:uiPriority w:val="99"/>
    <w:unhideWhenUsed/>
    <w:rsid w:val="00F272C8"/>
    <w:pPr>
      <w:tabs>
        <w:tab w:val="center" w:pos="4680"/>
        <w:tab w:val="right" w:pos="9360"/>
      </w:tabs>
    </w:pPr>
  </w:style>
  <w:style w:type="character" w:customStyle="1" w:styleId="FooterChar">
    <w:name w:val="Footer Char"/>
    <w:basedOn w:val="DefaultParagraphFont"/>
    <w:link w:val="Footer"/>
    <w:uiPriority w:val="99"/>
    <w:rsid w:val="00F272C8"/>
  </w:style>
  <w:style w:type="paragraph" w:styleId="ListParagraph">
    <w:name w:val="List Paragraph"/>
    <w:basedOn w:val="Normal"/>
    <w:uiPriority w:val="34"/>
    <w:qFormat/>
    <w:rsid w:val="00843E53"/>
    <w:pPr>
      <w:ind w:left="720"/>
      <w:contextualSpacing/>
    </w:pPr>
  </w:style>
  <w:style w:type="character" w:customStyle="1" w:styleId="Heading1Char">
    <w:name w:val="Heading 1 Char"/>
    <w:basedOn w:val="DefaultParagraphFont"/>
    <w:link w:val="Heading1"/>
    <w:uiPriority w:val="9"/>
    <w:rsid w:val="00772841"/>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84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4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72841"/>
    <w:rPr>
      <w:rFonts w:asciiTheme="majorHAnsi" w:eastAsiaTheme="majorEastAsia" w:hAnsiTheme="majorHAnsi" w:cstheme="majorBidi"/>
      <w:color w:val="365F91" w:themeColor="accent1" w:themeShade="BF"/>
      <w:sz w:val="26"/>
      <w:szCs w:val="26"/>
    </w:rPr>
  </w:style>
  <w:style w:type="paragraph" w:styleId="Quote">
    <w:name w:val="Quote"/>
    <w:basedOn w:val="Normal"/>
    <w:next w:val="Normal"/>
    <w:link w:val="QuoteChar"/>
    <w:uiPriority w:val="29"/>
    <w:qFormat/>
    <w:rsid w:val="00C32640"/>
    <w:pPr>
      <w:ind w:left="426" w:hanging="426"/>
    </w:pPr>
    <w:rPr>
      <w:rFonts w:eastAsia="Kai" w:cs="Times New Roman (Body CS)"/>
    </w:rPr>
  </w:style>
  <w:style w:type="character" w:customStyle="1" w:styleId="QuoteChar">
    <w:name w:val="Quote Char"/>
    <w:basedOn w:val="DefaultParagraphFont"/>
    <w:link w:val="Quote"/>
    <w:uiPriority w:val="29"/>
    <w:rsid w:val="00C32640"/>
    <w:rPr>
      <w:rFonts w:eastAsia="Kai" w:cs="Times New Roman (Body CS)"/>
    </w:rPr>
  </w:style>
  <w:style w:type="character" w:customStyle="1" w:styleId="Heading3Char">
    <w:name w:val="Heading 3 Char"/>
    <w:basedOn w:val="DefaultParagraphFont"/>
    <w:link w:val="Heading3"/>
    <w:uiPriority w:val="9"/>
    <w:rsid w:val="0033185B"/>
    <w:rPr>
      <w:rFonts w:asciiTheme="majorHAnsi" w:eastAsiaTheme="majorEastAsia" w:hAnsiTheme="majorHAnsi" w:cstheme="majorBidi"/>
      <w:b/>
      <w:color w:val="4F81BD" w:themeColor="accent1"/>
    </w:rPr>
  </w:style>
  <w:style w:type="character" w:customStyle="1" w:styleId="Heading4Char">
    <w:name w:val="Heading 4 Char"/>
    <w:basedOn w:val="DefaultParagraphFont"/>
    <w:link w:val="Heading4"/>
    <w:uiPriority w:val="9"/>
    <w:rsid w:val="0033185B"/>
    <w:rPr>
      <w:rFonts w:asciiTheme="majorHAnsi" w:eastAsiaTheme="majorEastAsia" w:hAnsiTheme="majorHAnsi" w:cstheme="majorBidi"/>
      <w:i/>
      <w:iCs/>
      <w:color w:val="365F91" w:themeColor="accent1" w:themeShade="BF"/>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40548">
      <w:bodyDiv w:val="1"/>
      <w:marLeft w:val="0"/>
      <w:marRight w:val="0"/>
      <w:marTop w:val="0"/>
      <w:marBottom w:val="0"/>
      <w:divBdr>
        <w:top w:val="none" w:sz="0" w:space="0" w:color="auto"/>
        <w:left w:val="none" w:sz="0" w:space="0" w:color="auto"/>
        <w:bottom w:val="none" w:sz="0" w:space="0" w:color="auto"/>
        <w:right w:val="none" w:sz="0" w:space="0" w:color="auto"/>
      </w:divBdr>
    </w:div>
    <w:div w:id="1620525282">
      <w:bodyDiv w:val="1"/>
      <w:marLeft w:val="0"/>
      <w:marRight w:val="0"/>
      <w:marTop w:val="0"/>
      <w:marBottom w:val="0"/>
      <w:divBdr>
        <w:top w:val="none" w:sz="0" w:space="0" w:color="auto"/>
        <w:left w:val="none" w:sz="0" w:space="0" w:color="auto"/>
        <w:bottom w:val="none" w:sz="0" w:space="0" w:color="auto"/>
        <w:right w:val="none" w:sz="0" w:space="0" w:color="auto"/>
      </w:divBdr>
    </w:div>
    <w:div w:id="1886484898">
      <w:bodyDiv w:val="1"/>
      <w:marLeft w:val="0"/>
      <w:marRight w:val="0"/>
      <w:marTop w:val="0"/>
      <w:marBottom w:val="0"/>
      <w:divBdr>
        <w:top w:val="none" w:sz="0" w:space="0" w:color="auto"/>
        <w:left w:val="none" w:sz="0" w:space="0" w:color="auto"/>
        <w:bottom w:val="none" w:sz="0" w:space="0" w:color="auto"/>
        <w:right w:val="none" w:sz="0" w:space="0" w:color="auto"/>
      </w:divBdr>
      <w:divsChild>
        <w:div w:id="1623539899">
          <w:marLeft w:val="480"/>
          <w:marRight w:val="0"/>
          <w:marTop w:val="0"/>
          <w:marBottom w:val="0"/>
          <w:divBdr>
            <w:top w:val="none" w:sz="0" w:space="0" w:color="auto"/>
            <w:left w:val="none" w:sz="0" w:space="0" w:color="auto"/>
            <w:bottom w:val="none" w:sz="0" w:space="0" w:color="auto"/>
            <w:right w:val="none" w:sz="0" w:space="0" w:color="auto"/>
          </w:divBdr>
          <w:divsChild>
            <w:div w:id="7466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8DCCE-38B5-0747-ADB2-98CC7EE4A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CASS</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文化如何在教育中起作用？</dc:title>
  <dc:creator>作者：Joanne W. Golann（范德堡大学）; 翻译：潘志豪（雪城大学）、周忆粟（澳门大学）</dc:creator>
  <cp:keywords/>
  <cp:lastModifiedBy>zhouyisu</cp:lastModifiedBy>
  <cp:revision>2</cp:revision>
  <dcterms:created xsi:type="dcterms:W3CDTF">2023-05-27T08:40:00Z</dcterms:created>
  <dcterms:modified xsi:type="dcterms:W3CDTF">2023-05-27T08:44:00Z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fontset=fandol</vt:lpwstr>
  </property>
  <property fmtid="{D5CDD505-2E9C-101B-9397-08002B2CF9AE}" pid="3" name="colorlinks">
    <vt:lpwstr>True</vt:lpwstr>
  </property>
  <property fmtid="{D5CDD505-2E9C-101B-9397-08002B2CF9AE}" pid="4" name="date">
    <vt:lpwstr>版本：2023.06.01</vt:lpwstr>
  </property>
  <property fmtid="{D5CDD505-2E9C-101B-9397-08002B2CF9AE}" pid="5" name="documentclass">
    <vt:lpwstr>ctexart</vt:lpwstr>
  </property>
  <property fmtid="{D5CDD505-2E9C-101B-9397-08002B2CF9AE}" pid="6" name="header-includes">
    <vt:lpwstr/>
  </property>
  <property fmtid="{D5CDD505-2E9C-101B-9397-08002B2CF9AE}" pid="7" name="output">
    <vt:lpwstr/>
  </property>
</Properties>
</file>