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身教</w:t>
      </w:r>
      <w:r>
        <w:t xml:space="preserve"> </w:t>
      </w:r>
      <w:r>
        <w:t xml:space="preserve">Teaching</w:t>
      </w:r>
      <w:r>
        <w:t xml:space="preserve"> </w:t>
      </w:r>
      <w:r>
        <w:t xml:space="preserve">Embodied</w:t>
      </w:r>
      <w:r>
        <w:rPr>
          <w:rStyle w:val="FootnoteReference"/>
        </w:rPr>
        <w:footnoteReference w:id="20"/>
      </w:r>
    </w:p>
    <w:p>
      <w:pPr>
        <w:pStyle w:val="Author"/>
      </w:pPr>
      <w:r>
        <w:t xml:space="preserve">原著：林安希子、约瑟夫·托宾</w:t>
      </w:r>
    </w:p>
    <w:p>
      <w:pPr>
        <w:pStyle w:val="Author"/>
      </w:pPr>
      <w:r>
        <w:t xml:space="preserve">翻译：童立勤、周忆粟</w:t>
      </w:r>
    </w:p>
    <w:p>
      <w:pPr>
        <w:pStyle w:val="Date"/>
      </w:pPr>
      <w:r>
        <w:t xml:space="preserve">版本：2020.02.27</w:t>
      </w:r>
    </w:p>
    <w:p>
      <w:pPr>
        <w:pStyle w:val="FirstParagraph"/>
      </w:pPr>
      <w:r>
        <w:t xml:space="preserve">在一家京都的日托班里，四个小女孩为了抢一个泰迪熊玩具而打了起来。女孩儿们在地板上扭打哭喊，老师看着她们，一度喊着「嘿」，但却不插手阻止。在东京的一所幼儿园里，一个4岁的男孩拽着另一个男孩的头发，他们的老师花了10分钟蹲在两个男孩之间调解他们的争执，其他孩子则聚在一起看和听。在东京一所聋哑学校的操场上，几名4岁的孩子（用日语手语）争论着拔河双方谁不公平。即使他们的分歧变得激烈，开始抓人和推搡，他们的老师仍在一旁看着，也不试图调解。我们在本书中分析的这些和其他事件反映了儿童和教师的身体、意图以及语言的交互；风俗、习惯与信仰的交互；日本幼儿园教室和操场的物质性（materiality）与学校建筑的可供性（affordances）；日本幼儿园的组织和经济特征，包括政府规定的师生比、课程指南和教师职业轨迹；以及意外事件等要素，诸如由于暴雨将休息室移到室内，以及或许可能在纠纷中起到调解作用的儿童的因病缺席。</w:t>
      </w:r>
    </w:p>
    <w:p>
      <w:pPr>
        <w:pStyle w:val="BodyText"/>
      </w:pPr>
      <w:r>
        <w:t xml:space="preserve">本书的核心是研究日本幼儿教师的行动、思维和谈话方式。更具体地说，这是一个对教师们用来支持幼儿社会情感发展（social-emotional development）的实践的研究。我们的研究记录在录像中，以三位日本幼儿教师分别在三所日本幼儿园的日常专业实践为中心。在她们的教室里记录拍摄时，这三位老师的年龄相仿（20岁后半），教学经验相仿（大约3年）。森田千里（Chisato Morita）在京都的小松谷保育园（日托中心）教书。这是一个由公共资金资助的全天制项目，为在职父母的子女提供服务，位于京都的一个佛教寺庙，由一名佛教僧侣领导。贝塜万理子（Mariko Kaizuka）在东京的圆子幼稚园任教。这是一所私立幼儿园，是一家家族企业，在繁华的都市社区提供半天制项目。这项研究中的第三位老师，池田秋子（Akiko Ikeda），是东京一所私立聋哑学校明晴学园学前班的班主任。这所学校是一个非盈利组织，致力于为家长和孩子提供在日本其他地方没有的，以「聋哑文化」为特色的手语教育的选择。</w:t>
      </w:r>
    </w:p>
    <w:p>
      <w:pPr>
        <w:pStyle w:val="BodyText"/>
      </w:pPr>
      <w:r>
        <w:t xml:space="preserve">我们在这项研究中介绍的三所幼儿园中有两所是《重访三种文化中的幼儿园》（</w:t>
      </w:r>
      <w:r>
        <w:rPr>
          <w:i/>
        </w:rPr>
        <w:t xml:space="preserve">Preschool in Three Cultures Revisited</w:t>
      </w:r>
      <w:r>
        <w:t xml:space="preserve">）中的研究基地：小松谷保育园和圆子幼稚园。第三所学校明晴学园是「三国聋哑幼儿园研究」的基地之一，我们是该研究小组的成员。然而，在这本书中，我们关注的不是聋哑教育，而是作为一所日本学前教育学校的明晴学园和作为一名日本教师的池田秋子。我们不忽视耳聋的主题，但我们认为明晴的儿童和教师的耳聋是日本学前教育的一个变化体。</w:t>
      </w:r>
    </w:p>
    <w:p>
      <w:pPr>
        <w:pStyle w:val="BodyText"/>
      </w:pPr>
      <w:r>
        <w:t xml:space="preserve">与《三种文化中的幼儿园》（Tobin, Wu, and Davidson 1989; Tobin, Hsueh, and Karasawa 2009）一样，我们把在每个教师课堂上拍摄的视频作为访谈线索；但与这些研究不同，本研究也将视频作为数据，呈现关键场景的微观分析。在这本书中，同那些研究中一样，我们关注教师对他们实践的口头反思，也关注教师的身体技巧（techniques of the body），我们认为这些是他们实践的关键组成部分。</w:t>
      </w:r>
    </w:p>
    <w:p>
      <w:pPr>
        <w:pStyle w:val="Heading2"/>
      </w:pPr>
      <w:bookmarkStart w:id="21" w:name="关于文化解释"/>
      <w:r>
        <w:t xml:space="preserve">关于「文化解释」</w:t>
      </w:r>
      <w:bookmarkEnd w:id="21"/>
    </w:p>
    <w:p>
      <w:pPr>
        <w:pStyle w:val="FirstParagraph"/>
      </w:pPr>
      <w:r>
        <w:t xml:space="preserve">在这本书中，我们提供了关于教学的文化解释。我们努力通过避免文化还原论的方式来做到这种解释。我们意识到将文化概念具体化和生产同义反复的分析的危险，这种重言式分析相当于一种论点，即「因为他们是日本人所以他们如此教学」（Anderson-Levitt 2012）。认为一种实践是文化性的并不意味着它不受政策、课堂环境的可供性和限制以及经济和人口因素的影响。我们发现安德森-莱维特（Anderson-Levitt）将教学的文化维度定义为「意义形成的先前过程的痕迹」（traces of prior processes of meaning making）并「承担（afford）及约束新社会情形下将发生的事情」（Anderson-Levitt 2013，6）。这一定义的优点是将文化概念化为可以对教学实践产生影响，而又不是完全决定教学实践。正如安德森-莱维特所说，虽然文化承担并约束人们在新情形下的行为方式，但「仍然是那些处于新情形下的人们必须利用这些痕迹和制品（artifacts）作为资源，将意义更新（make meanings anew）。」（6）。安德森-莱维特称之为的「制品」、「资源」和「痕迹」的事物，我们则称之为「隐性文化实践」（explicit cultural practices）。</w:t>
      </w:r>
    </w:p>
    <w:p>
      <w:pPr>
        <w:pStyle w:val="BodyText"/>
      </w:pPr>
      <w:r>
        <w:t xml:space="preserve">我们将隐性文化实践定义为具有三个核心特征的实践。首先，这些实践并不是独特的（idiosyncratic），而是在一个国家或地区的某一专业人员中广泛（但并非普遍）采用的。第二，虽然它们不是无意识的或压抑的，但隐性文化实践很少被谈论或被有意识地思考（至少在研究人员激起这种谈论和思考之前是这样的）。第三，它们在政府指导方针、课程标准或教师教育用书中很少被提及。在这本书中，通过展示一组文化信仰和实践，有外显的、隐性的、和默会的，我们提供了日本幼儿教师处理一系列熟悉的抑或是新奇的课堂情形的例子。</w:t>
      </w:r>
    </w:p>
    <w:p>
      <w:pPr>
        <w:pStyle w:val="BodyText"/>
      </w:pPr>
      <w:r>
        <w:t xml:space="preserve">我们相信文化作为研究学校生活的解释工具有其力量和效用，但不是任意的文化概念都如此。我们对日本学前教育的分析方法认为文化不仅是有意识的和外显的，而且是默会的（tacit）；不仅依赖文字为中介，而且是非语言的（nonlinguistic）；不仅是认知的，而且是体现的（embodied）；不仅是个体的和内在的，而且是集体的、身体间交互的（intercorporeal）。</w:t>
      </w:r>
    </w:p>
    <w:p>
      <w:pPr>
        <w:pStyle w:val="Heading2"/>
      </w:pPr>
      <w:bookmarkStart w:id="22" w:name="身体和头脑"/>
      <w:r>
        <w:t xml:space="preserve">身体和头脑</w:t>
      </w:r>
      <w:bookmarkEnd w:id="22"/>
    </w:p>
    <w:p>
      <w:pPr>
        <w:pStyle w:val="FirstParagraph"/>
      </w:pPr>
      <w:r>
        <w:t xml:space="preserve">在1934年的一篇文章中，马塞尔·莫斯（Marcel Mauss）提出，身体技巧并非独特的，而是一个时代、文化、社会阶层或职业群体的特征，是人们不需要去计划、揣有有目的或思考就可以做的事情。莫斯（1934/1973）认为，人们坐、走、跑、游、舞和交谈的方式是他们的文化、性别和社会阶层的特点，尽管这些身体实践没有被系统地教授、规定或用于有意识的目的。</w:t>
      </w:r>
    </w:p>
    <w:p>
      <w:pPr>
        <w:pStyle w:val="BodyText"/>
      </w:pPr>
      <w:r>
        <w:t xml:space="preserve">基于莫斯的观点，本书的论点是日本幼儿教师在课堂上所做的事情，包括她们处理儿童打架的方式涉及使用身体的技巧，而这些技巧的作用有时很难被老师解释清楚。与其他国家一样，日本关于学前教育的很多内容都是有目的性和明确的，如教育部的指导方针所规定的内容、在教育学院讲授的内容、被管理人员强调的内容、在教师研讨会上讨论的内容、并在课程计划中写下的内容。但许多最重要的日本学前教育实践是惯习（habitus）、直觉和涌现（emergency）的结果，而不是政策、正统观念或计划的结果。如果我们更多地关注内隐层面（特别是专业实践的身体层面）和涌现层面，而不仅仅是课堂活动的计划层面和预期层面，我们就能对日本（和其他地方）的幼儿教育有更深的了解。</w:t>
      </w:r>
    </w:p>
    <w:p>
      <w:pPr>
        <w:pStyle w:val="BodyText"/>
      </w:pPr>
      <w:r>
        <w:t xml:space="preserve">在论证教师身体技巧的重要性时，我们的意图不是把身体和头脑对立起来。通过将一些教学实践识别为身体的技巧，这并不意味着暗示头脑不参与其中。在体育比赛后的采访中，运动员有时会用「身体记忆」和「肌肉记忆」来解释他们在激烈的比赛中的行动，而这些行动似乎没有时间进行计算和规划。但是，如果说肌肉在没有大脑参与的情况下单独活动就可以做一些复杂的事情，比如用一定的速度和轨迹击球、投掷或踢一个球，从而达到预期的结果，那就太荒谬了。娴熟的运动员展现的这种熟练的身体动作需要脑体的统一。我们的论点是，技艺高超的日本幼儿教师的做法也是如此。</w:t>
      </w:r>
    </w:p>
    <w:p>
      <w:pPr>
        <w:pStyle w:val="BodyText"/>
      </w:pPr>
      <w:r>
        <w:t xml:space="preserve">尼克·克罗斯利（Nick Crossley，2007）在其关于社会学理论中身体的地位的论文中，将打字作为一种身体活动的例子，这种活动需要掌握一系列技能，但不需要有意识的注意：</w:t>
      </w:r>
    </w:p>
    <w:p>
      <w:pPr>
        <w:pStyle w:val="BlockText"/>
      </w:pPr>
      <w:r>
        <w:rPr>
          <w:i/>
        </w:rPr>
        <w:t xml:space="preserve">例如，打字涉及到手指、手臂、眼睛、头部等的运动。这是有目的的、有头脑的、需培养的动作….我的手指不需要我去看或搜索就知道该移去哪里，但我无法随意描述每个字母的位置。我对键盘的知识是实用的，先于反映和体现的。从我的意识角度来看，我的身体「只是在［恰当地］移动」，不需要我的干扰。从我的意识的角度看，文化上来说适当的身体动作和协调「恰好发生」，而这并不是感知和反思性的知识。</w:t>
      </w:r>
      <w:r>
        <w:t xml:space="preserve">（83）</w:t>
      </w:r>
    </w:p>
    <w:p>
      <w:pPr>
        <w:pStyle w:val="FirstParagraph"/>
      </w:pPr>
      <w:r>
        <w:t xml:space="preserve">在接下来的章节中，我们将证明，这跟经验丰富的日本幼儿教师解释其具体实践背后的思维的反应方式差不多。在我们的采访中，老师告诉我们，他们很少考虑自己在课堂中的位置，阅读故事或调解纠纷时的姿态，或与孩子谈论情感事件时的面部表情和语调。他们的许多行为不是有意识的注意。这并不是说老师们对自己的实践没有什么有趣的见解。当被要求解释他们的行为时（被研究者通常在民族志研究中被这样要求），教师们可以并且确实能提出有趣的思考。但是，我们并没有假设这些事后反思是产生我们视频中的实践的意图或根本原因，相反，我们将教师对其实践的谈论视为另一种形式的隐性文化和专业实践。毕竟，谈话和身体的技巧一样，都是对文化和职业的反映。</w:t>
      </w:r>
    </w:p>
    <w:p>
      <w:pPr>
        <w:pStyle w:val="BodyText"/>
      </w:pPr>
      <w:r>
        <w:t xml:space="preserve">大多数关于教学的描述都假定良好的实践始于教师头脑一种清晰的意图，教师随后将其操作化。首先是制定一个教学计划，然后指导她的身体实施这一计划。我们借鉴了一系列理论家的观点，将包括学前教育实践在内的这一过程重新理解，认为行动有时甚至通常出现在意图之前而不是之后。路易斯·阿尔都塞（Louis Althusser，1971）引用了布莱兹·帕斯卡（Blaise Pascal）的一个例子，认为「由于你祷告，所以你是信教的」；而不是「由于你信教而去祷告」这一传统理解。宗教的材料——体现的实践（对天主教徒来说是下跪，划十字圣号，接受圣餐）——先于并构建了宗教观念。身体实践先于信念而出现。我们认为，日本（和其他地方）的学前教育正是如此。</w:t>
      </w:r>
    </w:p>
    <w:p>
      <w:pPr>
        <w:pStyle w:val="BodyText"/>
      </w:pPr>
      <w:r>
        <w:t xml:space="preserve">皮耶尔·布迪厄（Pierre Bourdieu，2000）批判了导致学者将头脑凌驾于身体之上、理论凌驾于实践知识之上的「学术盲目」（scholastic blindness）。他批评理性行动者模式和「自愿的审议」（voluntary deliberation）的观念，这种观念认为：</w:t>
      </w:r>
    </w:p>
    <w:p>
      <w:pPr>
        <w:pStyle w:val="BlockText"/>
      </w:pPr>
      <w:r>
        <w:rPr>
          <w:i/>
        </w:rPr>
        <w:t xml:space="preserve">每一个决策，都被看作是可能理论中的一个理论上的选择，它的前提是两个初步的操作：第一，制定一个完整、可能的选择列表；第二，确定不同策略的结果并进行比较评估。这种对普通行为完全不切实际的描述….是基于这样一种观点，即每一个行动之前都有一个有预谋和明确的计划。</w:t>
      </w:r>
      <w:r>
        <w:t xml:space="preserve">（137-38）</w:t>
      </w:r>
    </w:p>
    <w:p>
      <w:pPr>
        <w:pStyle w:val="FirstParagraph"/>
      </w:pPr>
      <w:r>
        <w:t xml:space="preserve">这种理性行动、预谋（premeditation）和审议的观念是大多数关于教学的学术研究和大多数教师教育项目的特点，它们更注重编写教案，而不是自发的决策，更注重教师的事后反思，而不是体现的、直观的实践。布迪厄的论点可以用来把我们的注意力从有预谋的行动教学转移到体现的、涌现的实践教学。布迪厄用</w:t>
      </w:r>
      <w:r>
        <w:rPr>
          <w:i/>
        </w:rPr>
        <w:t xml:space="preserve">惯习</w:t>
      </w:r>
      <w:r>
        <w:t xml:space="preserve">（</w:t>
      </w:r>
      <w:r>
        <w:rPr>
          <w:i/>
        </w:rPr>
        <w:t xml:space="preserve">habitus</w:t>
      </w:r>
      <w:r>
        <w:t xml:space="preserve">）的概念反对理性行动理论：</w:t>
      </w:r>
    </w:p>
    <w:p>
      <w:pPr>
        <w:pStyle w:val="BlockText"/>
      </w:pPr>
      <w:r>
        <w:rPr>
          <w:i/>
        </w:rPr>
        <w:t xml:space="preserve">社会代理人被赋予</w:t>
      </w:r>
      <w:r>
        <w:rPr>
          <w:i/>
        </w:rPr>
        <w:t xml:space="preserve"> </w:t>
      </w:r>
      <w:r>
        <w:rPr>
          <w:i/>
        </w:rPr>
        <w:t xml:space="preserve">，过去的经验铭刻在他们的身体里。这些感知、理解和行动的系统使他们能够在找到和识别有条件的、常规的激励物的基础上，进行实际的行动，而他们容易对这些激励物作出反应；而且，他们没有定义任何明确的目的，也没有对手段的理性计算的前提下，去产生适当的和不断更新的策略。他们是这些结构化限制的产物，同时也反过来定义这些限制。</w:t>
      </w:r>
      <w:r>
        <w:t xml:space="preserve">（138）</w:t>
      </w:r>
    </w:p>
    <w:p>
      <w:pPr>
        <w:pStyle w:val="FirstParagraph"/>
      </w:pPr>
      <w:r>
        <w:t xml:space="preserve">总之，我们关心的是体现的两个含义。一种是老师把自己的身体作为一种工具，她如何用手来做手势、安慰和训导；她的姿势、凝视和在教室中的位置用来表示不同程度的注意；她的声音用来传达共情、沮丧、不赞成和热情。第二，相关的含义表示教学实践缺乏预谋和反思并且依赖类似运动员和音乐家的「肌肉记忆」。</w:t>
      </w:r>
    </w:p>
    <w:p>
      <w:pPr>
        <w:pStyle w:val="Heading2"/>
      </w:pPr>
      <w:bookmarkStart w:id="23" w:name="默会知识和隐性知识"/>
      <w:r>
        <w:t xml:space="preserve">默会知识和隐性知识</w:t>
      </w:r>
      <w:bookmarkEnd w:id="23"/>
    </w:p>
    <w:p>
      <w:pPr>
        <w:pStyle w:val="FirstParagraph"/>
      </w:pPr>
      <w:r>
        <w:t xml:space="preserve">迈克尔·波兰尼（Michael Polanyi）认为，在科学和医学领域，就像在日常生活的其他领域一样，指导我们的许多知识都是默会的。他的观点总结在他的名言中：「有些事情我们知道但说不出来」（Polanyi 1962，601）。波兰尼将复杂的练习（如在钢琴上弹奏一段音乐）与练习的组成部分（包括手指间距、身体姿势、脚踏板的使用以及敲击键盘以产生音符与和弦的顺序和组合）进行了有益的区分。每一个组成部分都可以单独练习，但是，波兰尼认为，如果一个有成就的钢琴家把太多的注意力放在各个部分上，他或她就会失去流畅性（fluidity），这种流畅性会使单纯的钢琴演奏变成传达深刻感情和美的艺术表演。</w:t>
      </w:r>
    </w:p>
    <w:p>
      <w:pPr>
        <w:pStyle w:val="BodyText"/>
      </w:pPr>
      <w:r>
        <w:t xml:space="preserve">人类学家莫里斯·布洛赫（Maurice Bloch，1991）得出了一个类似的结论，因为他认为「人类学家研究的许多知识必然以非语言形式存在于人们的头脑中」，我们应该对我们的被研究者受人类学家激发而提供的基于语言的实践解释表示怀疑：</w:t>
      </w:r>
    </w:p>
    <w:p>
      <w:pPr>
        <w:pStyle w:val="BlockText"/>
      </w:pPr>
      <w:r>
        <w:rPr>
          <w:i/>
        </w:rPr>
        <w:t xml:space="preserve">当我们的被研究者诚实地说「这就是我们做这些事情的原因」，或者「这就是我们做这些事情的意义」，或者「这就是我们做这些事情的方式」时，我们不应该高兴，而应该怀疑，并问这是什么样的特殊知识，可以采取这样一种明确的语言形式？事实上，我们应该把所有的显性知识都看作是有问题的，因为在正常情况下，这类知识可能与实际活动中使用的知识相去甚远。</w:t>
      </w:r>
      <w:r>
        <w:t xml:space="preserve">（193-94）</w:t>
      </w:r>
    </w:p>
    <w:p>
      <w:pPr>
        <w:pStyle w:val="FirstParagraph"/>
      </w:pPr>
      <w:r>
        <w:t xml:space="preserve">麦克斯·范·曼恩（Max van Manen，1995）的「教学眼力」（pedagogical tact）概念同样表明，教授专业知识不是以语言的形式组织的：</w:t>
      </w:r>
    </w:p>
    <w:p>
      <w:pPr>
        <w:pStyle w:val="BlockText"/>
      </w:pPr>
      <w:r>
        <w:rPr>
          <w:i/>
        </w:rPr>
        <w:t xml:space="preserve">这种实践技能就像一种无声的知识，它隐含在我的世界和我的行动中，而不是认知上明确的或某种批判性的反思。这种沉默的知识不一定能转化为命题话语（propositional discourse）….好的老师往往很难确定为什么他们什么都能做好（或者为什么他们在这方面做得不好）。如果教师被要求解释他们的成功，或者如果他们被要求将他们的行为转化为口头的命题，那么他们通常会被诱惑去重现他们认为是被期望的抽象的原则或理论。他们还能做什么？更难用语言捕捉的是存在于我们身体里的知识和我们世界上的事物中的知识。</w:t>
      </w:r>
      <w:r>
        <w:t xml:space="preserve">（10-12）</w:t>
      </w:r>
    </w:p>
    <w:p>
      <w:pPr>
        <w:pStyle w:val="FirstParagraph"/>
      </w:pPr>
      <w:r>
        <w:t xml:space="preserve">我们感兴趣的是日本幼儿教师对他们为什么做和如何做事以及他们在实践中所附加的意义的解释。但是，我们从布洛赫、波兰尼和范·曼恩那里得到了一种认识，即我们不应将这些关于实践的口头话语误认为是潜在的原因，也不应深陷于被研究者关于实践的话语中，以致于我们无法记录、呈现和分析具体的实践本身。布洛赫的非语言知识理论和波兰尼的专家实践者的隐性知识理论带来的一个挑衅性暗示是：将具体实践转化为语言形式是适得其反的，因为我们引入了一种可能干扰流畅性的自我意识。</w:t>
      </w:r>
    </w:p>
    <w:p>
      <w:pPr>
        <w:pStyle w:val="BodyText"/>
      </w:pPr>
      <w:r>
        <w:t xml:space="preserve">在专业实践的讨论中，默会和隐性（tacit and implicit）两个词经常交替使用。虽然我们认为这些术语所涵盖的概念是重叠的，但我们在这里做一个区分：我们使用「隐性」一词描述教学实践，尽管这些实践没有写在指导方针或教科书中，也没有在教师的日常生活中被提及。但当民族志学者推动教师解释时，教师可以相对容易地说出来。我们使用「默会」一词指的是实践者用来执行这些隐性教学实践的具体技术，即使是在民族志研究者的推动下，大多数实践者也很难解释这些技术。例如，在第一章中，我们提出</w:t>
      </w:r>
      <w:r>
        <w:t xml:space="preserve"> </w:t>
      </w:r>
      <w:r>
        <w:rPr>
          <w:i/>
        </w:rPr>
        <w:t xml:space="preserve">mimamoru</w:t>
      </w:r>
      <w:r>
        <w:t xml:space="preserve">，我们将其定义为一种处理儿童冲突的低干预方法，是一种常见的隐性教学策略；相反，我们使用术语「默会」、「身体技巧」和「身体惯习」来指代教师调节其在课堂中位置的方式，尤其是教师们表现出的注意和不注意，让孩子们知道，教师们知道发生了什么事，但不打算干预。</w:t>
      </w:r>
    </w:p>
    <w:p>
      <w:pPr>
        <w:pStyle w:val="Heading2"/>
      </w:pPr>
      <w:bookmarkStart w:id="24" w:name="专业技能"/>
      <w:r>
        <w:t xml:space="preserve">专业技能</w:t>
      </w:r>
      <w:bookmarkEnd w:id="24"/>
    </w:p>
    <w:p>
      <w:pPr>
        <w:pStyle w:val="FirstParagraph"/>
      </w:pPr>
      <w:r>
        <w:t xml:space="preserve">我们感兴趣的不仅是确定日本学前教育的核心特征，而且还有区分一般的教学和好的教学，以及确定有助于发展教学专业技能的过程。我们对教师和校长的采访表明，日本学前教育实践最具文化特色之处是在工作中通过经验学习，而不是在教师教育训练或在职专业发展课程中学习。这对于那些最明显的属于身体技巧的教学实践来说尤其如此：如面部表情、姿势、凝视和教师在教室中位置。这些教学的方面对新手教师来说是一个挑战，因为它们是非语言的，而且在大多数情况下不是有意识的注意或反思。正如简·怀特（Jane White，1989）在其对美国新手教师教学中所分析的：</w:t>
      </w:r>
    </w:p>
    <w:p>
      <w:pPr>
        <w:pStyle w:val="BlockText"/>
      </w:pPr>
      <w:r>
        <w:rPr>
          <w:i/>
        </w:rPr>
        <w:t xml:space="preserve">教学中的一些文化知识是非语言的。在新手教师教学之初所获得的许多知识是身体性和模仿性的——目光注视、姿势、音调、语调，并且与作为一名教师该如何说话有关。他们学习到的大部分内容都与空间和时间有关：学习站在哪里、学习如何在教室中走动、学习提问题的节奏和顺序、学习当孩子给出错误答案时该做什么。</w:t>
      </w:r>
      <w:r>
        <w:t xml:space="preserve">（193）</w:t>
      </w:r>
    </w:p>
    <w:p>
      <w:pPr>
        <w:pStyle w:val="FirstParagraph"/>
      </w:pPr>
      <w:r>
        <w:t xml:space="preserve">基于约翰·赫尔巴特(Johann Herbart)首次提出的概念的基础上，范·曼恩（van Manen，1995）使用「教学熟虑和眼力」（pedagogical thoughtfulness and tact）一词来描述专家教师如何使用「即兴教学技能，在互动教学情境中即时了解如何与学生互动，从一个时刻到下一个时刻」（8）。我们也借鉴了戴维·伯利纳（David Berliner，1988）的建议，即随着教师经验的积累，他们变得越来越「不依赖理性」（arational，这与「非理性」nonrational不是一回事）。他们变得不那么受规则的驱使，不那么有意识地深思熟虑，更自信地追随自己的直觉。</w:t>
      </w:r>
    </w:p>
    <w:p>
      <w:pPr>
        <w:pStyle w:val="Heading2"/>
      </w:pPr>
      <w:bookmarkStart w:id="25" w:name="偶然性和涌现"/>
      <w:r>
        <w:t xml:space="preserve">偶然性和涌现</w:t>
      </w:r>
      <w:bookmarkEnd w:id="25"/>
    </w:p>
    <w:p>
      <w:pPr>
        <w:pStyle w:val="FirstParagraph"/>
      </w:pPr>
      <w:r>
        <w:t xml:space="preserve">把教学实践称为一种隐性的文化实践或一种惯习的身体化形式，并不意味着它一成不变或对新情况不做无反应。正如布迪厄（2000）所写：「惯习随着新的经验而不断变化。处置须作永久性修正」（161）。我们在这本书的许多点上应用这个逻辑来解释，例如，当小松谷保育园的一群女孩为了一只泰迪熊而打架时，森田老师除了在某一时刻从房间的另一边喊「嘿！」之外，并无不干涉。这形成了身体、事物、惯习、信念、结构化约束和可供性的交织。当在我们在视频中反思这一幕时，森田向我们解释说，她有时干预儿童打架，有时不干预，是否干预取决于许多因素。当我们问森田她如何处理孩子们打架时，她回答说：「</w:t>
      </w:r>
      <w:r>
        <w:rPr>
          <w:i/>
        </w:rPr>
        <w:t xml:space="preserve">Sono toki ni yōtte</w:t>
      </w:r>
      <w:r>
        <w:t xml:space="preserve">」（看情况）。在孩子们为了泰迪熊而发生打闹时，森田解释说，她的行动取决于各种因素，包括当打闹爆发时，她正在午饭前忙着打扫教室，以及在打闹中女孩们靠近了一台钢琴的尖锐边缘。</w:t>
      </w:r>
    </w:p>
    <w:p>
      <w:pPr>
        <w:pStyle w:val="BodyText"/>
      </w:pPr>
      <w:r>
        <w:t xml:space="preserve">偶然性和涌现发生在所有领域，但用兰德·斯皮罗（Rand Spiro）的话说，是「弱结构化」（ill-structured）领域的特征。斯皮罗和他的同事费尔托维奇、雅各布森和库尔森（1992）将弱结构化领域定义为「实践者必须处理没有完全相同并且涉及多种因素的相互作用的案例」。他们列举了医学、历史和文学解释领域弱结构化的例子。我们要把学前教育加入这个名单，根据斯皮罗的定义，这可能是各级教育中结构化程度最低的。日本的情况尤其如此，日本的国家幼儿园指导方针只规定了一般目标，教学不以标准化课程为主，也不以对儿童或教师的标准化评估为导向。</w:t>
      </w:r>
    </w:p>
    <w:p>
      <w:pPr>
        <w:pStyle w:val="BodyText"/>
      </w:pPr>
      <w:r>
        <w:t xml:space="preserve">斯皮罗、柯林斯和拉姆尚德兰（2007）写道：「在复杂且弱结构化的知识领域」，需要有方法来「促进以多重代表、相互联系和偶然性为特征的知识建构（情境依赖，即认识到何时适合说『看情况』的一种倾向，认识到许多情况不是『非此即彼』，而是介于两者之间的灰色阴影）」(20)。他们认为，弱结构化的领域需要从业者采用「复杂、开放、灵活的思维习惯」（19）。我们扩展了这个概念，认为某些弱结构化领域，如学前教育，需要复杂、开放和灵活的</w:t>
      </w:r>
      <w:r>
        <w:rPr>
          <w:i/>
        </w:rPr>
        <w:t xml:space="preserve">身体</w:t>
      </w:r>
      <w:r>
        <w:t xml:space="preserve">习惯。学前教育不像跳高这样的运动，在这种运动中，挑战和所需的身体技术总是大同小异，学前教育更像是足球，它很少有固定的动作，并且要求其专家实践者能够在动态中结合一系列身体技能，以应对不断变化的情形，因为没有两个情形是完全相同的。</w:t>
      </w:r>
    </w:p>
    <w:p>
      <w:pPr>
        <w:pStyle w:val="Heading2"/>
      </w:pPr>
      <w:bookmarkStart w:id="26" w:name="身体交互"/>
      <w:r>
        <w:t xml:space="preserve">身体交互</w:t>
      </w:r>
      <w:bookmarkEnd w:id="26"/>
    </w:p>
    <w:p>
      <w:pPr>
        <w:pStyle w:val="FirstParagraph"/>
      </w:pPr>
      <w:r>
        <w:t xml:space="preserve">无论教师在课堂上如何熟练地运用身体技巧，他们的教学只有在他们的行为得到学生的回应时才有效。教学不是个人表演，而是集体表演，需要教师和学生动作的协调。就像在舞蹈团或足球队中一样，幼教学生和他们的老师必须协调他们的身体实践。但与舞蹈队或运动队不同的是，幼儿园的教室并不是为了实现一个共同的目标而存在。因此，我们提出另一个有用的隐喻：通勤者在拥挤的地铁站和城市街道上的穿梭方式。他们（大多是无意识地）使用身体的技术，以避免在前往各自目的地的途中发生碰撞。在城市的头几个月里，新进入城市生活的人很可能会受到推搡或在车站里推搡其他人，笨拙地登上和离开列车车厢，迫切地想知道在拥挤的列车上到底该站在哪里，要抓住哪个带子或杆子。类似的尴尬表现在学生在学年头几个月的行动和教师在工作头几年的行动上。欧文·戈夫曼（Erving Goffman）创造了「身体的空间性」（the spatiality of embodiement）一词来描述社会生活所需要的身体间的同步，莫里斯·梅洛-庞蒂（Maurice Merleau-Ponty）将这种社会性形式概念化为「身体交互」（Crossley 1995）。</w:t>
      </w:r>
    </w:p>
    <w:p>
      <w:pPr>
        <w:pStyle w:val="BodyText"/>
      </w:pPr>
      <w:r>
        <w:t xml:space="preserve">要使课堂生机盎然，必须有某种同步，涉及一个有经验的教师和一个班级中正在吸收课堂社会中身体技巧的孩子们之间和谐的运动。因此，教师有一项双重任务：他们必须掌握将自己的身体作为教学工具的技巧，还必须学习如何支持儿童发展身体的、身体间交互的社会实践。日本的《幼儿园教育指南》指出，一个关键的课程目标是培养具有社会意识（</w:t>
      </w:r>
      <w:r>
        <w:rPr>
          <w:i/>
        </w:rPr>
        <w:t xml:space="preserve">shakai seikatsu</w:t>
      </w:r>
      <w:r>
        <w:t xml:space="preserve">）和群体生活技能的儿童。我们关注的是日本幼儿教师如何帮助幼童学会让他们的身体与团体生活合拍。要在日本社会中过上适当的生活，不仅需要掌握一种生活方式，而是多种，以及掌握根据不断变化的环境需求调整自己的行为和身体实践的能力。在日本的幼儿园里，每天都会有几次老师带领孩子们将语言和行为举止从非正式转变为正式形式的时刻。</w:t>
      </w:r>
    </w:p>
    <w:p>
      <w:pPr>
        <w:pStyle w:val="Heading2"/>
      </w:pPr>
      <w:bookmarkStart w:id="27" w:name="社会情感发展与社会意识"/>
      <w:r>
        <w:t xml:space="preserve">社会情感发展与社会意识</w:t>
      </w:r>
      <w:bookmarkEnd w:id="27"/>
    </w:p>
    <w:p>
      <w:pPr>
        <w:pStyle w:val="FirstParagraph"/>
      </w:pPr>
      <w:r>
        <w:t xml:space="preserve">我们的研究集中在日本幼儿教育者在幼儿社会情感发展和日本幼儿教育者所称的「社会意识」的发展中所扮演的角色。我们的关注有几个原因。一是日本政策制定者、教师和家长普遍认为，日本幼儿园最重要的功能是帮助儿童学习成为社会成员。虽然日本有一些幼儿园强调学术准备（Holloway 2000），但他们显然是少数（Oda and Mori 2006）。</w:t>
      </w:r>
    </w:p>
    <w:p>
      <w:pPr>
        <w:pStyle w:val="BodyText"/>
      </w:pPr>
      <w:r>
        <w:t xml:space="preserve">我们的关注也反映了我们的民族志取向。民族志的一个中心关注点是文化的濡化（enculturation），即文化在一代又一代人之间传播的过程。日本和其他地方一样，濡化的中心目标是帮助儿童学习成为合格的社会成员。在任何文化中，要成为社会群体的一员，都需要发展社会技能，包括适当地表达情绪和对他人情绪作出适当反应的能力。研究表明，尽管情感的某些方面在不同的文化中是完全相同的（Eisenberg 1992），但也有一些具有文化特征的感觉方式、表达方式和对他人的感觉作出反应的方式（Lebra 1976; Markus and Kitayama 1991）。</w:t>
      </w:r>
    </w:p>
    <w:p>
      <w:pPr>
        <w:pStyle w:val="BodyText"/>
      </w:pPr>
      <w:r>
        <w:t xml:space="preserve">日本幼儿教师有时会在我们的访谈中评论他们班上个别孩子的情绪特征和社交能力，但她们更强调随着时间的推移，她们看到的是班集体处理社交互动的能力的进步。我们认为，日本幼儿教育者对社会意识的讨论不同于大多数西方社会情感发展的概念，因为她们把儿童处理纠纷和其他社会互动的能力视为一个群体的功能，而不当成每个儿童个体的功能。日本人对社会情感发展的观点可以促使我们思考，冲动控制（impulse control）和发展心理学家所称的「执行功能」（executive functions）的其他方面，怎样可以被视为——不仅（或不主要）属于幼儿个体的，而且属于班级集体能力的特征。</w:t>
      </w:r>
    </w:p>
    <w:p>
      <w:pPr>
        <w:pStyle w:val="BodyText"/>
      </w:pPr>
      <w:r>
        <w:t xml:space="preserve">另一个描述我们中心研究问题的方法是：日本的幼儿园是如何作为日本儿童学习成为日本人的场所的？然而，当我们询问被研究者们对这个问题的看法时，她们告诉我们，她们很少会想到自己在学前班所做的事情是教学生用日本人的方式与其他人交流。她们告诉我们，她们的目的是教幼儿如何开心快乐、成为适应良好的课堂成员，而不是让他们成为日本人。老师们偶尔会通过言语教导来做到这一点，但主要是通过做示范和提供社会互动的机会，让孩子们体验一系列的情感。在日本的幼儿园里教授与学习如何快乐、如何良好的适应的方式为何是日式的这一点是由我们这样的局外人来体察的。</w:t>
      </w:r>
    </w:p>
    <w:p>
      <w:pPr>
        <w:pStyle w:val="Heading2"/>
      </w:pPr>
      <w:bookmarkStart w:id="28" w:name="关于研究方法"/>
      <w:r>
        <w:t xml:space="preserve">关于研究方法</w:t>
      </w:r>
      <w:bookmarkEnd w:id="28"/>
    </w:p>
    <w:p>
      <w:pPr>
        <w:pStyle w:val="FirstParagraph"/>
      </w:pPr>
      <w:r>
        <w:t xml:space="preserve">如果许多的学前教育实践不足以引发教师的感知和反思性的知识，并采取布洛赫（1991）和波兰尼（1962；1966）认为的基本上是非语言和默会的知识形式，那么我们研究者如何意识到这些实践，我们又如何描述和分析它们？在这本书中我们采用了两种策略。一种是民族志田野调查方法，即利用我们文化局外人的视点看待日本幼儿园的世界，从而激发文化局内人自觉地意识到那些将会保持隐性、默会和非言语的做法。对于我们的被研究者和我们来说，挑战在于找到将他们通常隐性的、非语言编码的、默会的行为转化为语言。我们采用的另一种策略是不仅用文字记录，而且用图像记录他们的实践。在这本书中，我们分析了被研究者对我们展示给她们的视频所作的评论，并从视频片段中对师生互动进行了微观分析。</w:t>
      </w:r>
    </w:p>
    <w:p>
      <w:pPr>
        <w:pStyle w:val="BodyText"/>
      </w:pPr>
      <w:r>
        <w:t xml:space="preserve">我们在这里使用的策略扩展和修改了《三种文化中的幼儿园》中使用的方法。这些研究的方法是以「用录像引发的多重解释民族志」（video-cued multivocal ethnography）。研究小组制作了20分钟的视频，展示了日本、中国和美国幼儿园中典型的日子，然后用这些视频作为访谈的线索（图0.4）。第一次采访的是那些在其教室里录制了视频的老师。在这些访谈中，教师被要求解释视频中所看到的实践背后的想法。为了确定这些教学实践的典型性和变化范围，该方法的下一步是与该学校的其他教师和管理人员进行访谈，然后与同一国家的其他学校的教育人员进行访谈，然后与研究中的其他两个国家的教育人员进行访谈。</w:t>
      </w:r>
    </w:p>
    <w:p>
      <w:pPr>
        <w:pStyle w:val="BodyText"/>
      </w:pPr>
      <w:r>
        <w:t xml:space="preserve">在这项研究中，我们的方法不同于《三种文化中的幼儿园》，因为我们的研究范围更窄（关注一个国家而不是三个国家，关注教师对社会情感发展的看法，而不是他们的全部实践）；我们的研究方法更深入，重复与核心教师们和校长访谈；要求教师不要对整个20分钟的视频作出回应，而是对选定的场景作出回应；不仅将视频用作访谈线索，还将其用作微观分析的数据。</w:t>
      </w:r>
    </w:p>
    <w:p>
      <w:pPr>
        <w:pStyle w:val="BodyText"/>
      </w:pPr>
      <w:r>
        <w:t xml:space="preserve">《三种文化中的幼儿园》强调视频不是数据，而是采访线索。这些研究的重点不在于视频中捕捉到的行为，而在于教师对这些行为的解释。在本书中，我们仍然关注日本教育者对视频中日本幼儿园生活场景的反思。但我们不认为视频中的图像是提示而不是数据，反之，我们把其当作采访的提示和数据。我们将证明，从微观分析和对视频中捕捉到的具体实践的仔细解读中可以学到很多。无论是在民族志还是基于视频的教学研究中，都有一个丰富的传统，即对少数甚至仅仅一个文化实践者进行深入分析。一个很好的例子是康纳，阿施和阿施（1986）对巴厘岛萨满的以录像引发的研究，这项研究对《三种文化中的幼儿园》的方法的发展产生了重大影响。</w:t>
      </w:r>
    </w:p>
    <w:p>
      <w:pPr>
        <w:pStyle w:val="BodyText"/>
      </w:pPr>
      <w:r>
        <w:t xml:space="preserve">我们开始这个项目时，重新分析了对日本幼儿教育工作者的访谈记录，这些访谈记录来自《重访三种文化中的幼儿园》（2009）。我们寻找那些被忽视的见解，以及老师们反思她们如何支持儿童学习社会生活（</w:t>
      </w:r>
      <w:r>
        <w:rPr>
          <w:i/>
        </w:rPr>
        <w:t xml:space="preserve">shūdan seikatsu</w:t>
      </w:r>
      <w:r>
        <w:t xml:space="preserve">）。接下来，我们再次采访了一些参与先前研究的人，请他们再次观看并评论视频。第三个策略是重新编辑视频。我们回到未剪辑的镜头，挑选了原始研究中没有使用的镜头，然后我们使用这些重新编辑的视频缩小范围，在某些情况下转移采访的焦点，并引入新的话题进行讨论。我们的最终策略是对视频片段进行仔细的一个镜头一个镜头的分析，并制定了工作说明，然后我们要求被研究者对此进行评论。</w:t>
      </w:r>
    </w:p>
    <w:p>
      <w:pPr>
        <w:pStyle w:val="BodyText"/>
      </w:pPr>
      <w:r>
        <w:t xml:space="preserve">对视频的再关注需要概念性和文字性焦点的转移（Hayashi and Tobin 2012）。我们回到了没有进入20分钟剪辑版录像的镜头，并找到了能引发对本书关键问题讨论的镜头。为了合成原先的每段视频，我们在一天中用两台摄像机拍摄了14个小时的视频素材被缩减到20分钟，只有不到3%的素材进入了最终版本。例如，视频中包括的圆子幼稚园的打架场面从18分钟的未剪辑录像减少到了3分钟。这意味着我们有15分钟的这一幕的原始录像，可以被我们从剪辑室里重新拿回来制作新版本的视频。</w:t>
      </w:r>
    </w:p>
    <w:p>
      <w:pPr>
        <w:pStyle w:val="BodyText"/>
      </w:pPr>
      <w:r>
        <w:t xml:space="preserve">我们使用的另一种技术是在我们的编辑软件中用工具来重新构建场景（reframe scenes）。软件允许我们移动镜头的中心，把中心的东西移到画面的一边，把画面一边的东西移到中心。冻结图像、重新居中和缩放，然后再次重新居中（图0.5a和b）是一种在谍报和刑侦程序中流行的技术，可以追溯到米开朗基罗·安东尼奥尼的电影《放大》，这部电影展示了在外围被摄像机捕捉到的东西如何随着重新聚焦和放大而成为核心的、关键的线索。使用编辑软件，我们可以冻结电影中间的一个镜头，放大可能错过的细节，然后重新居中。通过对视频图像的微观分析，我们可以在民族志中增加对教师主位信念（emic beliefs）的关注，关注儿童和教师的身体技巧以及课堂生活中的身体交互。</w:t>
      </w:r>
    </w:p>
    <w:p>
      <w:pPr>
        <w:pStyle w:val="BodyText"/>
      </w:pPr>
      <w:r>
        <w:t xml:space="preserve">在这项新的研究中，通过使用重新编辑的视频作为访谈线索，并随着时间的推移增加对相同被研究者的再次访谈，我们能够更深入地探讨关键的教学问题。我们发现，当我们的被研究者习惯于接受我们的采访，并习惯了我们的以视频为线索的方法，她们变得更主动，在项目中的参与度也明显增多。为了了解专家技能，我们需要了解同一位老师职业生涯的不同阶段。为了探索教师如何随着时间的推移而改变，我们在她们职业生涯的第三年里——我们在2002年第一次采访了她们——对小松谷保育园的森田千里和圆子幼稚园的贝塜万理子进行了多次采访。我们还重新采访了一些《重访三种文化中的幼儿园》中的其他被研究者，并再次要求她们观看和评论视频。从2002年到现在，我们一直在和她们中的一些人进行交流，比如京都泉山幼稚园的Ritsuko Kumagai园长。我们采访了她七次，每次都带着新的场景和新的问题给她看。</w:t>
      </w:r>
    </w:p>
    <w:p>
      <w:pPr>
        <w:pStyle w:val="Heading2"/>
      </w:pPr>
      <w:bookmarkStart w:id="29" w:name="本书的结构"/>
      <w:r>
        <w:t xml:space="preserve">本书的结构</w:t>
      </w:r>
      <w:bookmarkEnd w:id="29"/>
    </w:p>
    <w:p>
      <w:pPr>
        <w:pStyle w:val="FirstParagraph"/>
      </w:pPr>
      <w:r>
        <w:t xml:space="preserve">本书共有六个主题章节，每个章节都涉及日本教师如何思考、如何行动以及如何谈论他们在儿童社会情感发展中所扮演的角色。第一章的重点是</w:t>
      </w:r>
      <w:r>
        <w:t xml:space="preserve"> </w:t>
      </w:r>
      <w:r>
        <w:rPr>
          <w:i/>
        </w:rPr>
        <w:t xml:space="preserve">mimamoru</w:t>
      </w:r>
      <w:r>
        <w:t xml:space="preserve">，字面意思是「观看和看护」，我们认为这是一个主位教学概念，是我们在每个视频中看到的，教师对儿童纠纷的低干预方法的基础。第二章主要探讨感受和日本主位概念</w:t>
      </w:r>
      <w:r>
        <w:t xml:space="preserve"> </w:t>
      </w:r>
      <w:r>
        <w:rPr>
          <w:i/>
        </w:rPr>
        <w:t xml:space="preserve">omoiyari</w:t>
      </w:r>
      <w:r>
        <w:t xml:space="preserve">「移情」和</w:t>
      </w:r>
      <w:r>
        <w:t xml:space="preserve"> </w:t>
      </w:r>
      <w:r>
        <w:rPr>
          <w:i/>
        </w:rPr>
        <w:t xml:space="preserve">amae</w:t>
      </w:r>
      <w:r>
        <w:t xml:space="preserve">「依赖」在学前教育中的中心地位，以及依附在情感体验上的价值，包括在身体和情感上受到的伤害。第三章关注的是儿童在纠纷中的边缘参与，以及对参与纠纷边缘的儿童的</w:t>
      </w:r>
      <w:r>
        <w:t xml:space="preserve"> </w:t>
      </w:r>
      <w:r>
        <w:rPr>
          <w:i/>
        </w:rPr>
        <w:t xml:space="preserve">gyarari</w:t>
      </w:r>
      <w:r>
        <w:t xml:space="preserve">（旁听）价值的主位教育信念，这样不仅有人际冲突的替代体验，同时也要通过让打架的孩子们意识到「来自社会的注视」的存在，从而来调解争议。第四章集中讨论教师如何帮助孩子们学习调整其语言、姿势、手势和头部位置，以表明从非正式环境到正式环境的转变。第五章是关于教育学专业技能的发展，重点是我们研究中的三位各具特色的教师如何反思自己作为教师的发展历程。第六章不同于其他章节，因为我们从分析学前教育转向分析政府指导方针作用的主位维度。我们认为，指导方针对教师在教育问题上缺乏明确的指导，这本身就是一种</w:t>
      </w:r>
      <w:r>
        <w:t xml:space="preserve"> </w:t>
      </w:r>
      <w:r>
        <w:rPr>
          <w:i/>
        </w:rPr>
        <w:t xml:space="preserve">mimamoru</w:t>
      </w:r>
      <w:r>
        <w:t xml:space="preserve"> </w:t>
      </w:r>
      <w:r>
        <w:t xml:space="preserve">形式，即最小程度的干预，使教师有自由探索自己的最佳实践。在最后一章中，我们展示了我们在前面几章中分别分析的实践是如何同时出现在现实生活中的。我们通过分析一个大一点的孩子在小松谷保育园喂一个婴儿的场景，以及重新分析那个为了泰迪熊而打架（此事件的重点是情感，</w:t>
      </w:r>
      <w:r>
        <w:rPr>
          <w:i/>
        </w:rPr>
        <w:t xml:space="preserve">mimamoru</w:t>
      </w:r>
      <w:r>
        <w:t xml:space="preserve">，</w:t>
      </w:r>
      <w:r>
        <w:rPr>
          <w:i/>
        </w:rPr>
        <w:t xml:space="preserve">gyarari</w:t>
      </w:r>
      <w:r>
        <w:t xml:space="preserve">，触摸，政策和专业技能的相互作用）的场景来做到这一点。</w:t>
      </w:r>
    </w:p>
    <w:p>
      <w:pPr>
        <w:pStyle w:val="Heading2"/>
      </w:pPr>
      <w:bookmarkStart w:id="30" w:name="参考文献"/>
      <w:r>
        <w:t xml:space="preserve">参考文献</w:t>
      </w:r>
      <w:bookmarkEnd w:id="30"/>
    </w:p>
    <w:sectPr w:rsidR="00373319" w:rsidSect="00E565B8">
      <w:pgSz w:w="11900" w:h="16840"/>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STKaiti">
    <w:panose1 w:val="02010600040101010101"/>
    <w:charset w:val="86"/>
    <w:family w:val="auto"/>
    <w:pitch w:val="variable"/>
    <w:sig w:usb0="80000287" w:usb1="280F3C52" w:usb2="00000016" w:usb3="00000000" w:csb0="0004009F" w:csb1="00000000"/>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译自</w:t>
      </w:r>
      <w:r>
        <w:t xml:space="preserve"> </w:t>
      </w:r>
      <w:r>
        <w:t xml:space="preserve">Hayashi,</w:t>
      </w:r>
      <w:r>
        <w:t xml:space="preserve"> </w:t>
      </w:r>
      <w:r>
        <w:t xml:space="preserve">A.</w:t>
      </w:r>
      <w:r>
        <w:t xml:space="preserve"> </w:t>
      </w:r>
      <w:r>
        <w:t xml:space="preserve">and</w:t>
      </w:r>
      <w:r>
        <w:t xml:space="preserve"> </w:t>
      </w:r>
      <w:r>
        <w:t xml:space="preserve">Tobin,</w:t>
      </w:r>
      <w:r>
        <w:t xml:space="preserve"> </w:t>
      </w:r>
      <w:r>
        <w:t xml:space="preserve">J.</w:t>
      </w:r>
      <w:r>
        <w:t xml:space="preserve"> </w:t>
      </w:r>
      <w:r>
        <w:t xml:space="preserve">J.</w:t>
      </w:r>
      <w:r>
        <w:t xml:space="preserve"> </w:t>
      </w:r>
      <w:r>
        <w:t xml:space="preserve">(2015).</w:t>
      </w:r>
      <w:r>
        <w:t xml:space="preserve"> </w:t>
      </w:r>
      <w:r>
        <w:t xml:space="preserve">Introduction.</w:t>
      </w:r>
      <w:r>
        <w:t xml:space="preserve"> </w:t>
      </w:r>
      <w:r>
        <w:rPr>
          <w:i/>
        </w:rPr>
        <w:t xml:space="preserve">Teaching</w:t>
      </w:r>
      <w:r>
        <w:rPr>
          <w:i/>
        </w:rPr>
        <w:t xml:space="preserve"> </w:t>
      </w:r>
      <w:r>
        <w:rPr>
          <w:i/>
        </w:rPr>
        <w:t xml:space="preserve">Embodied:</w:t>
      </w:r>
      <w:r>
        <w:rPr>
          <w:i/>
        </w:rPr>
        <w:t xml:space="preserve"> </w:t>
      </w:r>
      <w:r>
        <w:rPr>
          <w:i/>
        </w:rPr>
        <w:t xml:space="preserve">Cultural</w:t>
      </w:r>
      <w:r>
        <w:rPr>
          <w:i/>
        </w:rPr>
        <w:t xml:space="preserve"> </w:t>
      </w:r>
      <w:r>
        <w:rPr>
          <w:i/>
        </w:rPr>
        <w:t xml:space="preserve">Practice</w:t>
      </w:r>
      <w:r>
        <w:rPr>
          <w:i/>
        </w:rPr>
        <w:t xml:space="preserve"> </w:t>
      </w:r>
      <w:r>
        <w:rPr>
          <w:i/>
        </w:rPr>
        <w:t xml:space="preserve">in</w:t>
      </w:r>
      <w:r>
        <w:rPr>
          <w:i/>
        </w:rPr>
        <w:t xml:space="preserve"> </w:t>
      </w:r>
      <w:r>
        <w:rPr>
          <w:i/>
        </w:rPr>
        <w:t xml:space="preserve">Japanese</w:t>
      </w:r>
      <w:r>
        <w:rPr>
          <w:i/>
        </w:rPr>
        <w:t xml:space="preserve"> </w:t>
      </w:r>
      <w:r>
        <w:rPr>
          <w:i/>
        </w:rPr>
        <w:t xml:space="preserve">Preschools</w:t>
      </w:r>
      <w:r>
        <w:t xml:space="preserve">.</w:t>
      </w:r>
      <w:r>
        <w:t xml:space="preserve"> </w:t>
      </w:r>
      <w:r>
        <w:t xml:space="preserve">Chicago:</w:t>
      </w:r>
      <w:r>
        <w:t xml:space="preserve"> </w:t>
      </w:r>
      <w:r>
        <w:t xml:space="preserve">University</w:t>
      </w:r>
      <w:r>
        <w:t xml:space="preserve"> </w:t>
      </w:r>
      <w:r>
        <w:t xml:space="preserve">of</w:t>
      </w:r>
      <w:r>
        <w:t xml:space="preserve"> </w:t>
      </w:r>
      <w:r>
        <w:t xml:space="preserve">Chicago</w:t>
      </w:r>
      <w:r>
        <w:t xml:space="preserve"> </w:t>
      </w:r>
      <w:r>
        <w:t xml:space="preserve">Press.</w:t>
      </w:r>
      <w:r>
        <w:t xml:space="preserve"> </w:t>
      </w:r>
      <w:r>
        <w:t xml:space="preserve">英文版权归芝加哥大学出版社所有。翻译的人名与中文版《重访三种文化中的幼儿园》保持一致。原标题中「embodied」在本文中作「身体」、「体现」。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2"/>
  </w:num>
  <w:num w:numId="2">
    <w:abstractNumId w:val="3"/>
  </w:num>
  <w:num w:numId="3">
    <w:abstractNumId w:val="0"/>
  </w:num>
  <w:num w:numId="4">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19</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身教 Teaching Embodied</dc:title>
  <dc:creator>原著：林安希子、约瑟夫·托宾; 翻译：童立勤、周忆粟</dc:creator>
  <cp:keywords/>
  <dcterms:created xsi:type="dcterms:W3CDTF">2020-02-27T03:14:17Z</dcterms:created>
  <dcterms:modified xsi:type="dcterms:W3CDTF">2020-02-27T03:14:17Z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 = adobe</vt:lpwstr>
  </property>
  <property fmtid="{D5CDD505-2E9C-101B-9397-08002B2CF9AE}" pid="3" name="date">
    <vt:lpwstr>版本：2020.02.27</vt:lpwstr>
  </property>
  <property fmtid="{D5CDD505-2E9C-101B-9397-08002B2CF9AE}" pid="4" name="documentclass">
    <vt:lpwstr>ctexart</vt:lpwstr>
  </property>
  <property fmtid="{D5CDD505-2E9C-101B-9397-08002B2CF9AE}" pid="5" name="header-includes">
    <vt:lpwstr/>
  </property>
  <property fmtid="{D5CDD505-2E9C-101B-9397-08002B2CF9AE}" pid="6" name="output">
    <vt:lpwstr/>
  </property>
</Properties>
</file>