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9B449" w14:textId="77777777" w:rsidR="003C3D27" w:rsidRDefault="00000000">
      <w:pPr>
        <w:pStyle w:val="Title"/>
      </w:pPr>
      <w:r>
        <w:t xml:space="preserve">Problem Sovling Sociology </w:t>
      </w:r>
      <w:r>
        <w:t>解决问题的社会学</w:t>
      </w:r>
    </w:p>
    <w:p w14:paraId="67763C12" w14:textId="77777777" w:rsidR="003C3D27" w:rsidRDefault="00000000">
      <w:r>
        <w:t>原著：</w:t>
      </w:r>
      <w:r>
        <w:t xml:space="preserve">Monica Prasad </w:t>
      </w:r>
      <w:r>
        <w:t>莫妮卡</w:t>
      </w:r>
      <w:r>
        <w:t>·</w:t>
      </w:r>
      <w:r>
        <w:t>普拉萨德</w:t>
      </w:r>
    </w:p>
    <w:p w14:paraId="3DEB5994" w14:textId="77777777" w:rsidR="003C3D27" w:rsidRDefault="00000000">
      <w:r>
        <w:t>翻译：周忆粟</w:t>
      </w:r>
    </w:p>
    <w:p w14:paraId="08D850D8" w14:textId="77777777" w:rsidR="003C3D27" w:rsidRDefault="00000000">
      <w:r>
        <w:t>版本：</w:t>
      </w:r>
      <w:r>
        <w:t>2023.12.20</w:t>
      </w:r>
    </w:p>
    <w:p w14:paraId="6DA22C48" w14:textId="77777777" w:rsidR="003C3D27" w:rsidRDefault="00000000">
      <w:pPr>
        <w:pStyle w:val="Heading1"/>
      </w:pPr>
      <w:bookmarkStart w:id="0" w:name="第九章解决问题在美国社会学中的位置"/>
      <w:r>
        <w:t>第九章、解决问题在美国社会学中的位置</w:t>
      </w:r>
    </w:p>
    <w:p w14:paraId="0189C0BE" w14:textId="77777777" w:rsidR="003C3D27" w:rsidRDefault="00000000">
      <w:r>
        <w:t>把解决问题当作社会学的取径并不是什么新想法。本章探讨了解决问题在当代社会学实践中的地位，并概述了前几章内展开的实践练习的理论依据，包括我反复提出的要关注「我们是否可能错误」，坚持将自己视为社群的一部分，以及强调识别问题的致因。如果你是本科生或刚刚进入研究生阶段，你可能想跳过这一章。但当你进入研究生院几年后，应该回来读读它；这章本质上介绍了一种关于「社会学实践的社会学」（</w:t>
      </w:r>
      <w:r>
        <w:t>a sociology of sociological practice</w:t>
      </w:r>
      <w:r>
        <w:t>），它可以帮助你澄清所处的世界，并抵御批评者的攻击。</w:t>
      </w:r>
    </w:p>
    <w:p w14:paraId="1CB3F2CC" w14:textId="77777777" w:rsidR="003C3D27" w:rsidRDefault="00000000">
      <w:pPr>
        <w:pStyle w:val="Heading2"/>
      </w:pPr>
      <w:bookmarkStart w:id="1" w:name="社会学实践的景观"/>
      <w:r>
        <w:t>社会学实践的景观</w:t>
      </w:r>
    </w:p>
    <w:p w14:paraId="3E76314F" w14:textId="77777777" w:rsidR="003C3D27" w:rsidRDefault="00000000">
      <w:r>
        <w:t>在现代社会学实践的背后，正在上演一场令人不舒服的三方论争。争辩的参与者分别是：第一方认为社会学的目的是促进社会改善（</w:t>
      </w:r>
      <w:r>
        <w:t>improvement of society</w:t>
      </w:r>
      <w:r>
        <w:t>）；另一方坚持认为目标是深入理解社会（</w:t>
      </w:r>
      <w:r>
        <w:t>understanding of society</w:t>
      </w:r>
      <w:r>
        <w:t>）；还有一派则辩称我们即无法改善也不能理解社会。</w:t>
      </w:r>
    </w:p>
    <w:p w14:paraId="574E87B1" w14:textId="77777777" w:rsidR="003C3D27" w:rsidRDefault="00000000">
      <w:r>
        <w:t>就像我们在第一章中提出的那样，美国社会学向来带有改良和解放的元素。尽管这个学科起初沿着解放的目标起航，并不断受到解放意识的推动，但如今的社会学期刊在评估一份作品的智识贡献时，并不依据其改善社会的实用价值，而是看重作者能否加深对社会的理解。这也是聘任和评定终身教职时的标准依据。</w:t>
      </w:r>
      <w:r>
        <w:rPr>
          <w:rStyle w:val="FootnoteReference"/>
        </w:rPr>
        <w:footnoteReference w:id="1"/>
      </w:r>
      <w:r>
        <w:t xml:space="preserve"> </w:t>
      </w:r>
      <w:r>
        <w:t>在学科内部，始终存在一场关于关于智识理性论与解放论之间的论战。论战从埃米尔</w:t>
      </w:r>
      <w:r>
        <w:t>·</w:t>
      </w:r>
      <w:r>
        <w:t>涂尔干延续到塔尔科特</w:t>
      </w:r>
      <w:r>
        <w:t>·</w:t>
      </w:r>
      <w:r>
        <w:t>帕森斯，也同时影响着学术社会学的实践模式。理性论（</w:t>
      </w:r>
      <w:r>
        <w:t>rationalist</w:t>
      </w:r>
      <w:r>
        <w:t>）和解放论（</w:t>
      </w:r>
      <w:r>
        <w:t>emancipatory</w:t>
      </w:r>
      <w:r>
        <w:t>）取径之间隐约的斗争偶尔会演变</w:t>
      </w:r>
      <w:r>
        <w:lastRenderedPageBreak/>
        <w:t>成公开论争，一些学者认为在社会争论中保持中立既不可能也不现实</w:t>
      </w:r>
      <w:r>
        <w:rPr>
          <w:rStyle w:val="FootnoteReference"/>
        </w:rPr>
        <w:footnoteReference w:id="2"/>
      </w:r>
      <w:r>
        <w:t>；还有一些学者担忧，积极投身社会活动会削弱学科对科学正当性的申索，从而削弱其解决社会问题的影响力，而这恰恰是那些激进活动家们希望解决的问题。</w:t>
      </w:r>
      <w:r>
        <w:rPr>
          <w:rStyle w:val="FootnoteReference"/>
        </w:rPr>
        <w:footnoteReference w:id="3"/>
      </w:r>
      <w:r>
        <w:t xml:space="preserve"> </w:t>
      </w:r>
      <w:r>
        <w:t>那些尝试实施解放项目的学者一再地讲述他们被学科排斥与边缘化的经验。</w:t>
      </w:r>
      <w:r>
        <w:rPr>
          <w:rStyle w:val="FootnoteReference"/>
        </w:rPr>
        <w:footnoteReference w:id="4"/>
      </w:r>
    </w:p>
    <w:p w14:paraId="7AB86751" w14:textId="77777777" w:rsidR="003C3D27" w:rsidRDefault="00000000">
      <w:r>
        <w:t>这一学科内部存在的矛盾已经受到了广泛的探讨。然而，第三个传统</w:t>
      </w:r>
      <w:r>
        <w:t>——</w:t>
      </w:r>
      <w:r>
        <w:t>被称作社会学的「怀疑论」传统（</w:t>
      </w:r>
      <w:r>
        <w:t>skeptical tradition</w:t>
      </w:r>
      <w:r>
        <w:t>）</w:t>
      </w:r>
      <w:r>
        <w:t>——</w:t>
      </w:r>
      <w:r>
        <w:t>的后果却鲜少被提及。</w:t>
      </w:r>
      <w:r>
        <w:rPr>
          <w:rStyle w:val="FootnoteReference"/>
        </w:rPr>
        <w:footnoteReference w:id="5"/>
      </w:r>
      <w:r>
        <w:t xml:space="preserve"> </w:t>
      </w:r>
      <w:r>
        <w:t>该传统对理性能否实现如解放主义者所渴望的社会进步，或者达到如理性主义者所追求的深刻洞察，持质疑态度；这批学者甚至质疑我们能否准确识别出一个社会问题本身。受到二十世纪中叶法国社会理论渐渐在美国社会科学界普及的影响，并借鉴了社会学内部固有的社会建构主义偏好，怀疑论传统认为任何话语（</w:t>
      </w:r>
      <w:r>
        <w:t>discourse</w:t>
      </w:r>
      <w:r>
        <w:t>）都有局限性，并将这一见解转而运用到学术话语，以此主张我们无法最终获得关于理解或解放的确凿结论。史蒂芬</w:t>
      </w:r>
      <w:r>
        <w:t>·</w:t>
      </w:r>
      <w:r>
        <w:t>卢克斯（</w:t>
      </w:r>
      <w:r>
        <w:t>Stephen Lukes</w:t>
      </w:r>
      <w:r>
        <w:t>）指出，这一传统在学者间具有种「诱惑力」。</w:t>
      </w:r>
      <w:r>
        <w:rPr>
          <w:rStyle w:val="FootnoteReference"/>
        </w:rPr>
        <w:footnoteReference w:id="6"/>
      </w:r>
      <w:r>
        <w:t xml:space="preserve"> </w:t>
      </w:r>
      <w:r>
        <w:t>在社会学实践中，可以看到怀疑论学者更倾向于聚焦话语的元层面上（</w:t>
      </w:r>
      <w:r>
        <w:t>meta-level of discourse</w:t>
      </w:r>
      <w:r>
        <w:t>），他们不探究「怎样才能解决贫困」，而是追问「贫困何时被视作问题」</w:t>
      </w:r>
      <w:r>
        <w:t>?</w:t>
      </w:r>
      <w:r>
        <w:t>怀疑论学者同解放论者一样专注于权力、压迫与不公正问题；不过，他们也和理性论学者一样，在提出解决方案时显得迟疑。这种双重关注使得关于分类体系起源方面的研究日渐增多。这类研究达成了绘制权力图谱的目标，却从不深入追究如何改变或废除那些分类体系</w:t>
      </w:r>
      <w:r>
        <w:t>——</w:t>
      </w:r>
      <w:r>
        <w:t>后者本身就需要一种积极的愿景，而怀疑论传统对此却避之不及。相反，怀疑主义学者将自己局限于批判他人的解放行动或政策制定</w:t>
      </w:r>
      <w:r>
        <w:rPr>
          <w:rStyle w:val="FootnoteReference"/>
        </w:rPr>
        <w:footnoteReference w:id="7"/>
      </w:r>
      <w:r>
        <w:t>，或审视怎样以及为</w:t>
      </w:r>
      <w:r>
        <w:lastRenderedPageBreak/>
        <w:t>什么某些问题被认定为社会问题。</w:t>
      </w:r>
      <w:r>
        <w:rPr>
          <w:rStyle w:val="FootnoteReference"/>
        </w:rPr>
        <w:footnoteReference w:id="8"/>
      </w:r>
      <w:r>
        <w:t xml:space="preserve"> </w:t>
      </w:r>
      <w:r>
        <w:t>从另一方面说，理性主义和解放主义的传统共同认为理性可以带来进步，而这正是怀疑主义传统所反对的观点。</w:t>
      </w:r>
    </w:p>
    <w:p w14:paraId="0F607C59" w14:textId="77777777" w:rsidR="003C3D27" w:rsidRDefault="00000000">
      <w:r>
        <w:t>我在这一章提出，当这三项传统各自按照自身的论述进行思考时，都会撞进理论死胡同：对于追求解放的传统，关键问题在于当不同社群对「解放」有不同理解时应如何行动；对于持怀疑态度的传统，难题则在于如何在面对极端不公正时保持怀疑立场，此时尽管人们无法清晰定义不公正但又同时必须这么做；至于理性主义传统，则是人们普遍认为其在积累对社会世界的可信知识方面的局限性。</w:t>
      </w:r>
    </w:p>
    <w:p w14:paraId="038F27CB" w14:textId="77777777" w:rsidR="003C3D27" w:rsidRDefault="00000000">
      <w:r>
        <w:t>本章表明，当这些基本立场受到挑战时，每个传统中的学者作出了相同的选择：他们向一种实用主义的知识生产理解上退却（</w:t>
      </w:r>
      <w:r>
        <w:t>retreat to a pragmatist understanding of knowledge production</w:t>
      </w:r>
      <w:r>
        <w:t>），这种理解汲取了三种传统的特点，但又与它们各自不同。</w:t>
      </w:r>
    </w:p>
    <w:p w14:paraId="25F658D6" w14:textId="77777777" w:rsidR="003C3D27" w:rsidRDefault="00000000">
      <w:r>
        <w:t>作为一种智识运动，实用主义已经引起了社会理论家极大的关注，但是大多数研究实用主义的社会学者本身并不是非常实用的人。他们更多地将实用主义当作一种人类行动理论去研究，而非作为一种实际的知识生成方式。我认为，发展一种替代性的实用主义理解</w:t>
      </w:r>
      <w:r>
        <w:t>——</w:t>
      </w:r>
      <w:r>
        <w:t>我称之为「解决问题的实用主义」（</w:t>
      </w:r>
      <w:r>
        <w:t>pragmatism as problem-solving</w:t>
      </w:r>
      <w:r>
        <w:t>），有望推动该学科超越每个传统所带来的理论僵局。</w:t>
      </w:r>
    </w:p>
    <w:p w14:paraId="76BAC528" w14:textId="77777777" w:rsidR="003C3D27" w:rsidRDefault="00000000">
      <w:r>
        <w:t>由于这三大传统都是含蓄的哲学观，明确地通过学术研究来透彻地处理这些议题的文献并不多。本章的第一部分概述了每项传统以及它们各自面临的问题。第二部分对实用主义进行了定义，并指出社会学实践中的每一大传统是如何不得不逐步朝实用主义靠拢的。第三部分简要讨论了那些审视社会学中实用主义的学者们，提出他们没有把握住实用主义真正的可能性。第四部分暗示，在三种观点冲突的废墟中，其实暗含着一条社学会向前迈进的光明之路。</w:t>
      </w:r>
    </w:p>
    <w:p w14:paraId="762A914E" w14:textId="77777777" w:rsidR="003C3D27" w:rsidRDefault="00000000">
      <w:pPr>
        <w:pStyle w:val="Heading2"/>
      </w:pPr>
      <w:bookmarkStart w:id="2" w:name="三条死胡同"/>
      <w:bookmarkEnd w:id="1"/>
      <w:r>
        <w:t>三条死胡同</w:t>
      </w:r>
    </w:p>
    <w:p w14:paraId="5A154E40" w14:textId="77777777" w:rsidR="003C3D27" w:rsidRDefault="00000000">
      <w:r>
        <w:t>当单独采用这三种观点中的任意一种时，我们都会陷入死胡同。</w:t>
      </w:r>
    </w:p>
    <w:p w14:paraId="7E67E342" w14:textId="77777777" w:rsidR="003C3D27" w:rsidRDefault="00000000">
      <w:r>
        <w:t>解放的视角尽管在社会学界中广为流传，却始终未能充分解答一个关键问题：如果规范是由社会构建的，并且人们对解放的含义有所分歧，那么怎样才能定义什么才是真正的解放？研究尤尔根</w:t>
      </w:r>
      <w:r>
        <w:t>·</w:t>
      </w:r>
      <w:r>
        <w:t>哈贝马斯（</w:t>
      </w:r>
      <w:r>
        <w:t>Jürgen Habermas</w:t>
      </w:r>
      <w:r>
        <w:t>）的工作能够揭示解放社会学的疆界和限度，哈贝马斯精心构建了一套理论体系，为致力于解放的学术实践提供了坚实的辩护。研究过二战后对理性与启蒙观点持怀疑的德国传统之后，哈贝马斯致力于挽救一个理念，即系统性定义「压迫」是可能的，因此能为其找到应对之策。他提出，尽管工具理性导致的现代性曾经引发灾难，从历史的进程中人们依然能看到所谓「交往理性」（</w:t>
      </w:r>
      <w:r>
        <w:t>communicative rationality</w:t>
      </w:r>
      <w:r>
        <w:t>）的崛</w:t>
      </w:r>
      <w:r>
        <w:lastRenderedPageBreak/>
        <w:t>起。哈贝马斯还论证到，人与人之间的交往之所以可能，是因为共同追求理解，即使双方在交流的内容上存在冲突。基于此，他力图构建一种规范性的理想和一套历史理论。规范理想即「理想言论情境」（</w:t>
      </w:r>
      <w:r>
        <w:t>ideal speech situation</w:t>
      </w:r>
      <w:r>
        <w:t>），在这种语境下，所有参与者能摆脱支配，自由表达自己的兴趣和信仰，并且唯有更充分的论证才能导向结论。哈贝马斯运用「理解是沟通的核心追求」作为参照点来审视实际的人类行动和历史，以此可以批评那些阻碍理解追求自由流通的状态，赞扬那些促进理解共享的结构。社会结构也因此可以根据它们是促进还是妨碍共享理解的项目进行评估。哈贝马斯对西方社会中公共领域的发展进行历史社会学研究，并认为它趋向于形成理想的言论空间。</w:t>
      </w:r>
      <w:r>
        <w:rPr>
          <w:rStyle w:val="FootnoteReference"/>
        </w:rPr>
        <w:footnoteReference w:id="9"/>
      </w:r>
      <w:r>
        <w:t xml:space="preserve"> </w:t>
      </w:r>
      <w:r>
        <w:t>哈贝马斯的继承者们将这些见解进一步发展成关于公民社会和协商式民主的成熟研究传统，这些理念甚至已经开始影响到了实际政治实践。比如最近在爱尔兰，人们通过集体协商的方式来引导决定堕胎议题的全民公决就是一个例子。</w:t>
      </w:r>
      <w:r>
        <w:rPr>
          <w:rStyle w:val="FootnoteReference"/>
        </w:rPr>
        <w:footnoteReference w:id="10"/>
      </w:r>
    </w:p>
    <w:p w14:paraId="72865E66" w14:textId="77777777" w:rsidR="003C3D27" w:rsidRDefault="00000000">
      <w:r>
        <w:t>批评哈贝马斯理论的人指出，我们需要为那些似乎并不理性的交流方式</w:t>
      </w:r>
      <w:r>
        <w:t>——</w:t>
      </w:r>
      <w:r>
        <w:t>比如讲故事，或者甚至是那些看起来并不像是交流的行为，比如游行和抵制</w:t>
      </w:r>
      <w:r>
        <w:t>——</w:t>
      </w:r>
      <w:r>
        <w:t>提供空间，这是因为被压迫的群体可能缺乏在理想言论境况下能够占据话语优势的理性争辩技巧。批评者指出，突出理性实际上是一种排他方式，而这种方式恰恰利于那些占据支配地位的人；批评者们强调了排他性是构成西方公共舞台的重要部分。</w:t>
      </w:r>
      <w:r>
        <w:rPr>
          <w:rStyle w:val="FootnoteReference"/>
        </w:rPr>
        <w:footnoteReference w:id="11"/>
      </w:r>
      <w:r>
        <w:t xml:space="preserve"> </w:t>
      </w:r>
      <w:r>
        <w:t>从理论上讲，这并不是对交往理性本身的批判，而是对其现实落实不足的批判。然而，在实践中，人们似乎绕不开这个问题。如艾瑞斯</w:t>
      </w:r>
      <w:r>
        <w:t>·</w:t>
      </w:r>
      <w:r>
        <w:t>马里昂</w:t>
      </w:r>
      <w:r>
        <w:t>·</w:t>
      </w:r>
      <w:r>
        <w:t>扬（</w:t>
      </w:r>
      <w:r>
        <w:t>Iris Marion Young</w:t>
      </w:r>
      <w:r>
        <w:t>）所分析的，尝试利用这个理论辨别何为正义的行动看似存在逻辑上的循环：哈贝马斯的理论仅认为只有在完美的讨论条件下做出的行动才是公正的；但是完美的讨论条件只可能存在于一个已经公正的社会中，那么我们在实际不公正的社会中如何采取行动这一点就变得模糊不清了。</w:t>
      </w:r>
      <w:r>
        <w:rPr>
          <w:rStyle w:val="FootnoteReference"/>
        </w:rPr>
        <w:footnoteReference w:id="12"/>
      </w:r>
    </w:p>
    <w:p w14:paraId="27E05FF9" w14:textId="77777777" w:rsidR="003C3D27" w:rsidRDefault="00000000">
      <w:r>
        <w:t>对哈贝马斯传统的第二项主要批评是，即使所有当事人都真心尝试着寻求共识，并且都接受过理性交往的培训，共识在实践中仍然难以达成。如理查德</w:t>
      </w:r>
      <w:r>
        <w:t>·</w:t>
      </w:r>
      <w:r>
        <w:t>伯恩斯坦（</w:t>
      </w:r>
      <w:r>
        <w:t>Richard J. Bernstein</w:t>
      </w:r>
      <w:r>
        <w:t>）所说，哪怕那些完全致力于寻求共识并且在理性实践方面训练有素的哲学家们，也对所有的事情存在着激烈的分歧。</w:t>
      </w:r>
      <w:r>
        <w:rPr>
          <w:rStyle w:val="FootnoteReference"/>
        </w:rPr>
        <w:footnoteReference w:id="13"/>
      </w:r>
      <w:r>
        <w:t xml:space="preserve"> </w:t>
      </w:r>
      <w:r>
        <w:t>或许除了</w:t>
      </w:r>
      <w:r>
        <w:lastRenderedPageBreak/>
        <w:t>极为有限的一些情况，如数学证明以外，仅靠辩论就能得出明确结论的想法似乎很难令人接受。但如果分歧是普遍现状，如果理想的言论场景永远只是一种理想，我们努力追求无法实现的理想究竟有何价值？又为何它应当成为我们追求的目标呢？</w:t>
      </w:r>
    </w:p>
    <w:p w14:paraId="65CEA31B" w14:textId="77777777" w:rsidR="003C3D27" w:rsidRDefault="00000000">
      <w:r>
        <w:t>最后，从认可「基本的沟通需求」到认为「允许沟通的体系自然优于其他体系」</w:t>
      </w:r>
      <w:r>
        <w:t>——</w:t>
      </w:r>
      <w:r>
        <w:t>解放论的判断</w:t>
      </w:r>
      <w:r>
        <w:t>——</w:t>
      </w:r>
      <w:r>
        <w:t>还存在一个颇大的跳跃。哪怕对其最广义的解读，理想言语情境仅仅是一个评估实际交流情况的参照点。然而，认为「沟通会导向理解」是一码事，认为「这种观察可以作为规范性立场的依据」是另一码事，这两个判断之间存在逻辑上的飞跃</w:t>
      </w:r>
      <w:r>
        <w:t>——</w:t>
      </w:r>
      <w:r>
        <w:t>就像在观察到儿童学会走路和主张最好的社会应该是最注重步行的社会之间存在跳跃一样。再者，从最狭义的角度来解读，理想言语情境只是哈贝马斯作出的概念上的证明，表明理性存在并且是可能的；但是，如何从观察到最基本的主体间的协商一致性出发进一步构建理论，并非一目了然。如迪米特里</w:t>
      </w:r>
      <w:r>
        <w:t>·</w:t>
      </w:r>
      <w:r>
        <w:t>沙林（</w:t>
      </w:r>
      <w:r>
        <w:t>Dmitri Shalin</w:t>
      </w:r>
      <w:r>
        <w:t>）所指出的，两位参与者可能就国际象棋规则达成共识，但对下一步棋的最佳走法仍然存有分歧。</w:t>
      </w:r>
      <w:r>
        <w:rPr>
          <w:rStyle w:val="FootnoteReference"/>
        </w:rPr>
        <w:footnoteReference w:id="14"/>
      </w:r>
      <w:r>
        <w:t xml:space="preserve"> </w:t>
      </w:r>
      <w:r>
        <w:t>如果交流双方都明白对方的用意，那么即便是「我不同意你」或者「我要奴役你」这样的句子，也都显示了沟通协调的成果。但这说明了哪怕观察到了交流中的某种主体间理性，即［对哈贝马斯立场］最狭义的解读，对于是否可能在人类事务中取得进步这一问题的分析来说，还远远不够。</w:t>
      </w:r>
    </w:p>
    <w:p w14:paraId="43541FDF" w14:textId="77777777" w:rsidR="003C3D27" w:rsidRDefault="00000000">
      <w:r>
        <w:t>针对哈贝马斯理想的这些反对意见</w:t>
      </w:r>
      <w:r>
        <w:t>——</w:t>
      </w:r>
      <w:r>
        <w:t>实际上也适用于任何解放理论</w:t>
      </w:r>
      <w:r>
        <w:t>——</w:t>
      </w:r>
      <w:r>
        <w:t>其根基都在于观察到的差异性：说服方式和能力上的差异，以及最为理性的沟通者之间出于诚意的分歧。反对者呼吁了</w:t>
      </w:r>
      <w:r w:rsidRPr="00C77A6B">
        <w:rPr>
          <w:rFonts w:ascii="KaiTi" w:eastAsia="KaiTi" w:hAnsi="KaiTi"/>
          <w:iCs/>
        </w:rPr>
        <w:t>开放的必要性</w:t>
      </w:r>
      <w:r>
        <w:t>，也就是保持开放接纳不同观点，以避免在追求共识的过程中不经意间支配对方。解放理论中的进步目标对于如何界定「进步」的概念陷入困境。因此，我们接下来关注的那些学者们强调，我们无法将规范建立在坚实的基础上，以及由此产生了拥抱开放的态度和接纳差异的必要性。</w:t>
      </w:r>
    </w:p>
    <w:p w14:paraId="0D57786B" w14:textId="77777777" w:rsidR="003C3D27" w:rsidRDefault="00000000">
      <w:r>
        <w:t>虽然我无法精简地总结一个世纪以来关于这个论题的学术研究，但我们可以观察到从十九世纪至二十一世纪西方哲学中的一条主要脉络：学者们渐渐对「理性」这一概念丧失信心。这条脉络的起源多样：其一是理论传统自身的发展，学者们论证我们的观察并非总是可靠，并由此质疑我们是否能对任何信仰抱持确信；其二是非西方哲学的影响；其三是二十世纪中期的剧变，似乎证明了被理性主导的传统并不必然导致良好后果；其四是当我们不断认识到实际存在的人类信仰存在如此的多样性时。</w:t>
      </w:r>
    </w:p>
    <w:p w14:paraId="6FB36281" w14:textId="77777777" w:rsidR="003C3D27" w:rsidRDefault="00000000">
      <w:r>
        <w:t>虽然这个学术传统不能仅归因于某位学者，但某位最近加入辩论的学者，她的工作典型地展示了这个传统的长处和短板。这就是受到雅克</w:t>
      </w:r>
      <w:r>
        <w:t>·</w:t>
      </w:r>
      <w:r>
        <w:t>德里达影响的尚</w:t>
      </w:r>
      <w:r>
        <w:lastRenderedPageBreak/>
        <w:t>塔尔</w:t>
      </w:r>
      <w:r>
        <w:t>·</w:t>
      </w:r>
      <w:r>
        <w:t>穆芙（</w:t>
      </w:r>
      <w:r>
        <w:t>Chantal Mouffe</w:t>
      </w:r>
      <w:r>
        <w:t>）。穆芙反对交往理性，原因在于它排除了非理性的话语，还有一个原因在于对那些社会地位较低的人来说，理性的论证风格并不那么容易被采用。而且她还指出，共识非但不可能，甚至不应被设为目标，即使那些通过更有力的论证达成的共识也不行。穆芙主张，冲突既有创造性也兼具建设性，而差异是身份认同的基础：在构建「我们」之前，首先需要构设一个「他们」。</w:t>
      </w:r>
      <w:r>
        <w:rPr>
          <w:rStyle w:val="FootnoteReference"/>
        </w:rPr>
        <w:footnoteReference w:id="15"/>
      </w:r>
      <w:r>
        <w:t xml:space="preserve"> </w:t>
      </w:r>
      <w:r>
        <w:t>基于这个的基础，她呼吁尊重差异。既然在实践中共识永远不可能达成，我们就不应该试图强加共识，因为那只是另一种形式的支配；反而，我们应该庆祝由差异带来的创造力潜能。因此她提出，一种真正民主的制度应该是她所说的「竞争性」制度（</w:t>
      </w:r>
      <w:r>
        <w:rPr>
          <w:i/>
          <w:iCs/>
        </w:rPr>
        <w:t>agonistic</w:t>
      </w:r>
      <w:r>
        <w:t>）</w:t>
      </w:r>
      <w:r>
        <w:t>——</w:t>
      </w:r>
      <w:r>
        <w:t>在这样一种制度下，使得对立的各方不断碰撞，却不让任何一方永久占支配地位。</w:t>
      </w:r>
      <w:r>
        <w:rPr>
          <w:rStyle w:val="FootnoteReference"/>
        </w:rPr>
        <w:footnoteReference w:id="16"/>
      </w:r>
      <w:r>
        <w:t xml:space="preserve"> </w:t>
      </w:r>
      <w:r>
        <w:t>穆芙的思想受到了德里达解构主义的启发，该主义质疑取得主体间意义上共识的可能性，因为语言中没有客观基准来结束能指之间的连绵游戏（</w:t>
      </w:r>
      <w:r>
        <w:t>there is no objective ground in language for ending the continual play of signifiers</w:t>
      </w:r>
      <w:r>
        <w:t>）；</w:t>
      </w:r>
      <w:r>
        <w:rPr>
          <w:rStyle w:val="FootnoteReference"/>
        </w:rPr>
        <w:footnoteReference w:id="17"/>
      </w:r>
      <w:r>
        <w:t xml:space="preserve"> </w:t>
      </w:r>
      <w:r>
        <w:t>即便可能存在哈贝马斯式的</w:t>
      </w:r>
      <w:r w:rsidRPr="00C77A6B">
        <w:rPr>
          <w:rFonts w:ascii="KaiTi" w:eastAsia="KaiTi" w:hAnsi="KaiTi"/>
          <w:iCs/>
        </w:rPr>
        <w:t>理解倾向</w:t>
      </w:r>
      <w:r>
        <w:t>，但在这个框架下，该倾向被宣告为注定要失败，我们不会真正地达到理解。</w:t>
      </w:r>
    </w:p>
    <w:p w14:paraId="4FD6F390" w14:textId="77777777" w:rsidR="003C3D27" w:rsidRDefault="00000000">
      <w:r>
        <w:t>穆芙的批评者们指出，和这一传统中的许多学者一样，启发她理念的核心是尊重差异的愿望。但是，如果我们无法得出普遍性的结论，如何理解这个促使我们尊重差异的「普遍」结论呢？此外，穆芙希望将某些观点排除在她所说的竞争游戏之外，她认为这些因素是「对立的」（</w:t>
      </w:r>
      <w:r>
        <w:t>antagonistic</w:t>
      </w:r>
      <w:r>
        <w:t>，即不尊重游戏中的其他参与者），而不是「竞争的」，但在她的框架下似乎并没有办法鉴别那些具有对立性的元素。比如，她坚持认为「一些差异被构建为主从关系，因此应由激进的民主政治来挑战。」</w:t>
      </w:r>
      <w:r>
        <w:rPr>
          <w:rStyle w:val="FootnoteReference"/>
        </w:rPr>
        <w:footnoteReference w:id="18"/>
      </w:r>
      <w:r>
        <w:t xml:space="preserve"> </w:t>
      </w:r>
      <w:r>
        <w:t>但这样的做法，难道不正好需要那种结束讨论并提出封闭结论（</w:t>
      </w:r>
      <w:r>
        <w:t>closure</w:t>
      </w:r>
      <w:r>
        <w:t>）的做法吗，这不正是她的整个理论一直反对的吗？如果我们不能得出任何结论，又怎样能够识别并消除那些对立元素？</w:t>
      </w:r>
      <w:r>
        <w:rPr>
          <w:rStyle w:val="FootnoteReference"/>
        </w:rPr>
        <w:footnoteReference w:id="19"/>
      </w:r>
      <w:r>
        <w:t xml:space="preserve"> </w:t>
      </w:r>
      <w:r>
        <w:t>如果能够识别出这些对立元素，那又为什么不可以将识别出的原则扩展成一套积极的普遍性结论呢？这个论证可以泛化推及后结构主义的其他争议。例如，后结构主义学说中的一种观点是：权力塑造着所有知识领域，包括那些引导我们将某些现象定义为问题的知识。但是，人们为什么要关注权力是如何塑造知识领域呢？难道不是因为他们认为权力的这种影响存在某些问题吗？而如果确实存在问题，那就意味着有一个可以用来判断对错的准则，进而这也意味着给予我们这个准则的特定知识领域必然</w:t>
      </w:r>
      <w:r>
        <w:lastRenderedPageBreak/>
        <w:t>有某些方法摆脱权力的影响。</w:t>
      </w:r>
    </w:p>
    <w:p w14:paraId="044AA92B" w14:textId="77777777" w:rsidR="003C3D27" w:rsidRDefault="00000000">
      <w:r>
        <w:t>避免去封闭差异间的游戏，这论点存在第二个问题：在人类事务中，我们都会采取立场</w:t>
      </w:r>
      <w:r>
        <w:t>——</w:t>
      </w:r>
      <w:r>
        <w:t>所有人类的行动都会带来后果，包括选择「不行动」的情形。虽然对于任何特定个人来说，大部分后果可能微不足道，但终归还是存在某些后果。这就意味着，如果某人看到世界上存在社会问题，因为不想封闭差异之争而选择不介入，那么他的不介入本身就如同采取了行动一样无疑。选择不采取行动可能意味着帮助维持现状。在某些情况下，不行动可能实际上是有益的，比如，外部行动者的干预可能会导致形势更为两极化。但这是出于不同理由采取的不介入策略，区别于因为不愿封闭差异之争而不介入：实际上，这本身就是一种封闭差异争论的决定。在两种情况下，不论出于何种原因，不行动都会带来后果，因此最好将其理解为一种行动。任何行动或不行动都会导致某种结果，无论是积极的还是消极的。作为具备某种决策能力的成人，我们不仅能够采取立场，实际上也有责任这么做</w:t>
      </w:r>
      <w:r>
        <w:t>——</w:t>
      </w:r>
      <w:r>
        <w:t>从字面上和逻辑上讲，我们别无选择。这种责任建立在对封闭的逻辑需求之上</w:t>
      </w:r>
      <w:r>
        <w:t>——</w:t>
      </w:r>
      <w:r>
        <w:t>即任何有能力表明立场的人，在拒绝做出选择时，实际上已经做出了选择。实际上，由于时间有限，我们无法对所有问题或甚至大多数问题都明确表明立场，但这不应妨碍我们至少对我们选择研究的问题表明立场，即使我们的立场是经过了深思熟虑而决定不采取行动。</w:t>
      </w:r>
    </w:p>
    <w:p w14:paraId="3F487F88" w14:textId="77777777" w:rsidR="003C3D27" w:rsidRDefault="00000000">
      <w:r>
        <w:t>除了上述逻辑上的挑战外，还存在着一个可能对穆芙和同样立场的人来说更加棘手的问题：穆芙所认为的民主本身固有的创新潜力，实际上是建立在闭合之上的。如果反对阵营内部不能形成某种程度的一致性，就不可能有力地表达出与主导观点相反的看法。穆芙遗漏了一点从而使她的理论无法融贯（</w:t>
      </w:r>
      <w:r>
        <w:t>coherent</w:t>
      </w:r>
      <w:r>
        <w:t>），那就是必须要在反对派的群体内部找到闭合的必要性：如果反对力量在内部争议中耗尽了自己的能量，就无法有效地进行创新性的抵抗行动。穆芙提出，协商的理想在追求共识时牺牲了民主的多元精神（</w:t>
      </w:r>
      <w:r>
        <w:t>pluralist essence of democracy</w:t>
      </w:r>
      <w:r>
        <w:t>）。然而，反之亦然：冲突的理想仅在牺牲实际冲突的基础上才能成立（</w:t>
      </w:r>
      <w:r>
        <w:t>the conflictual ideal is only possible at the expense of actual conflict</w:t>
      </w:r>
      <w:r>
        <w:t>），因为永久缺乏闭合其实意味着冲突的各方其实无法形成。竞争性需要不同竞争者间的短暂共识，但穆芙的理论并没有为这种暂时的闭合提出合理的解释。</w:t>
      </w:r>
      <w:r>
        <w:rPr>
          <w:rStyle w:val="FootnoteReference"/>
        </w:rPr>
        <w:footnoteReference w:id="20"/>
      </w:r>
    </w:p>
    <w:p w14:paraId="5B5164FD" w14:textId="77777777" w:rsidR="003C3D27" w:rsidRDefault="00000000">
      <w:r>
        <w:t>事实上，这一洞察引出了对［怀疑论］这种更加相对主义立场的重要批评：如果要采取行动来限制权力和统治，需要的是定论闭合（</w:t>
      </w:r>
      <w:r>
        <w:rPr>
          <w:i/>
          <w:iCs/>
        </w:rPr>
        <w:t>closure</w:t>
      </w:r>
      <w:r>
        <w:t>）而非差异的无限创造性展现，穆芙那一学派的学者们将难以对抗社会的支配潮流。正如罗伯特</w:t>
      </w:r>
      <w:r>
        <w:t xml:space="preserve">·J. </w:t>
      </w:r>
      <w:r>
        <w:t>安东尼奥（</w:t>
      </w:r>
      <w:r>
        <w:t>Robert J. Antonio</w:t>
      </w:r>
      <w:r>
        <w:t>）提到的，「激进的后现代主义没有为那些涉及国家社区衰落问题的宏大道德论述留出位置。它对社会层面上应如何应对不断增长的未得满足的需求、对福利政策的退却，或是中产阶级不断被压缩的现状保持沉默，从而未能正视专制主义的威胁。」</w:t>
      </w:r>
      <w:r>
        <w:rPr>
          <w:rStyle w:val="FootnoteReference"/>
        </w:rPr>
        <w:footnoteReference w:id="21"/>
      </w:r>
      <w:r>
        <w:t xml:space="preserve"> </w:t>
      </w:r>
      <w:r>
        <w:t>这种批评并不是说激进的后现代主义</w:t>
      </w:r>
      <w:r>
        <w:lastRenderedPageBreak/>
        <w:t>者们</w:t>
      </w:r>
      <w:r w:rsidRPr="00C77A6B">
        <w:rPr>
          <w:rFonts w:ascii="KaiTi" w:eastAsia="KaiTi" w:hAnsi="KaiTi"/>
          <w:iCs/>
        </w:rPr>
        <w:t>造成</w:t>
      </w:r>
      <w:r>
        <w:t>了这些问题，而是认为在坚持理论框架的同时，他们无法对这些问题作出任何智识上的回应。</w:t>
      </w:r>
    </w:p>
    <w:p w14:paraId="5C9C1CEB" w14:textId="77777777" w:rsidR="003C3D27" w:rsidRDefault="00000000">
      <w:r>
        <w:t>后现代主义者们的论证不可否认地揭示了我们关于公正的看法是由社会构建的，因为我们能看到，人们即使在最压迫的情境下也能创造出有意义乃至充满欢乐的时刻。然而归根结底，后现代主义者们并没有严肃地认为一个奴隶社会或进行种族灭绝的社会与一个自由社会等同，这使得如何在观察到差异性和采取行动的需要之间找到前进的方向变得模糊不清。</w:t>
      </w:r>
    </w:p>
    <w:p w14:paraId="6C0E497F" w14:textId="77777777" w:rsidR="003C3D27" w:rsidRDefault="00000000">
      <w:r>
        <w:t>很多社会学家试图避开解放论和怀疑论取径，他们简单地旨在理解社会，这就是第三种，被称为「理性论」的传统。这种传统指导着如今的学术社会学，但试图理解社会的尝试往往让理性论实践者自己也感到不满。一个关键的观察是</w:t>
      </w:r>
      <w:r>
        <w:t>——</w:t>
      </w:r>
      <w:r>
        <w:t>来自理性论的实践者们自己</w:t>
      </w:r>
      <w:r>
        <w:t>——</w:t>
      </w:r>
      <w:r>
        <w:t>我们实际上并没有在一个世纪的理性主义社会科学中看到对社会理解的进步。相反，社会学的洞察、描述和理论像时尚潮流般盛行一时又飞速逝去。造成这种状态的原因有许多不同的推测。豪斯（</w:t>
      </w:r>
      <w:r>
        <w:t>J. S. House</w:t>
      </w:r>
      <w:r>
        <w:t>）担忧那种「带来知识分散和不统一的离心力</w:t>
      </w:r>
      <w:r>
        <w:t>……</w:t>
      </w:r>
      <w:r>
        <w:t>［阻碍了社会学家们］在科学和学术上取得成就以及对社会和公共政策作出更多贡献。」</w:t>
      </w:r>
      <w:r>
        <w:rPr>
          <w:rStyle w:val="FootnoteReference"/>
        </w:rPr>
        <w:footnoteReference w:id="22"/>
      </w:r>
      <w:r>
        <w:t xml:space="preserve"> </w:t>
      </w:r>
      <w:r>
        <w:t>贝斯布里斯和汗（</w:t>
      </w:r>
      <w:r>
        <w:t>Max Besbris and Shamus Khan</w:t>
      </w:r>
      <w:r>
        <w:t>）认为当前要求每篇新论文都要发展新理论，「创造了这样一种模糊情况：在一个理论林立的领域中，观点实际上变得空洞。」</w:t>
      </w:r>
      <w:r>
        <w:rPr>
          <w:rStyle w:val="FootnoteReference"/>
        </w:rPr>
        <w:footnoteReference w:id="23"/>
      </w:r>
      <w:r>
        <w:t xml:space="preserve"> </w:t>
      </w:r>
      <w:r>
        <w:t>更多的担忧包括，许多学者花时间将社会现象通过这样那样的理论视角重新描述，却并未明确他们选择的理由，也没有试图进行广泛的综合。就像邓肯</w:t>
      </w:r>
      <w:r>
        <w:t>·</w:t>
      </w:r>
      <w:r>
        <w:t>沃茨（</w:t>
      </w:r>
      <w:r>
        <w:t>Duncan Watts</w:t>
      </w:r>
      <w:r>
        <w:t>）指出的那样，矛盾的发现可能在学术研究中并存数十年，却没有人注意或尝试解决矛盾，这就是他所谓的「不融贯问题」。</w:t>
      </w:r>
      <w:r>
        <w:rPr>
          <w:rStyle w:val="FootnoteReference"/>
        </w:rPr>
        <w:footnoteReference w:id="24"/>
      </w:r>
      <w:r>
        <w:t xml:space="preserve"> </w:t>
      </w:r>
      <w:r>
        <w:t>理性论社会学家们为这种现状找出越来越生动的隐喻，从贝斯布里斯和汗的「火轮」（</w:t>
      </w:r>
      <w:r>
        <w:t>wheel of fire</w:t>
      </w:r>
      <w:r>
        <w:t>）到戴维斯（</w:t>
      </w:r>
      <w:r>
        <w:t>Gerald Davis</w:t>
      </w:r>
      <w:r>
        <w:t>）描述的「充满无用构造细节的神秘之屋：开门见墙的门户、通向一片空白的迷宫走廊以及直通顶部的楼梯。」</w:t>
      </w:r>
      <w:r>
        <w:rPr>
          <w:rStyle w:val="FootnoteReference"/>
        </w:rPr>
        <w:footnoteReference w:id="25"/>
      </w:r>
      <w:r>
        <w:t xml:space="preserve"> </w:t>
      </w:r>
      <w:r>
        <w:t>如此看来，理性论取径在其试图理解社会的本身目标上似乎并没有成功。</w:t>
      </w:r>
    </w:p>
    <w:p w14:paraId="7B267D14" w14:textId="77777777" w:rsidR="003C3D27" w:rsidRDefault="00000000">
      <w:r>
        <w:t>解放论传统的哈贝马斯学派和怀疑论的穆芙／德里达学派在推至其极限时</w:t>
      </w:r>
      <w:r>
        <w:lastRenderedPageBreak/>
        <w:t>似乎都丧失了［论点的］融贯性，而理性论的替代选项也未能积累起知识。有趣的是，随着这些视角遭遇挑战，它们每一个都朝着相似的方向发展：一种实用主义、解决问题的策略。</w:t>
      </w:r>
    </w:p>
    <w:p w14:paraId="0E99507F" w14:textId="77777777" w:rsidR="003C3D27" w:rsidRDefault="00000000">
      <w:pPr>
        <w:pStyle w:val="Heading2"/>
      </w:pPr>
      <w:bookmarkStart w:id="3" w:name="实用主义作为隐蔽的汇流点"/>
      <w:bookmarkEnd w:id="2"/>
      <w:r>
        <w:t>实用主义作为隐蔽的汇流点</w:t>
      </w:r>
    </w:p>
    <w:p w14:paraId="2AB1BEBA" w14:textId="77777777" w:rsidR="003C3D27" w:rsidRDefault="00000000">
      <w:r>
        <w:t>十九世纪的实用主义不是个人的成果，而是汇聚了跨越几十年的数位松散关联的学者们一系列发表与未发表的手稿，这批学者间没有被一份系统性阐述实用主义的文献连接起来。不过我们仍可以从中总结出四项构成这种哲学思想的基本原则。首先，实用主义者认为不存在坚不可摧的基础被用来构建知识或规范性结论。</w:t>
      </w:r>
      <w:r>
        <w:rPr>
          <w:rStyle w:val="FootnoteReference"/>
        </w:rPr>
        <w:footnoteReference w:id="26"/>
      </w:r>
      <w:r>
        <w:t xml:space="preserve"> </w:t>
      </w:r>
      <w:r>
        <w:t>在这一点上，他们像怀疑论者一样，遵循了康德哲学之后长久的传统思想，这种思想认为我们无法脱离人类的认知工具去直接面对世界。再者，人类的概念工具有其历史沿革，并随着时间不断演进，所以试图找到无可质疑的立足点并无意义。</w:t>
      </w:r>
    </w:p>
    <w:p w14:paraId="7FEEADF3" w14:textId="77777777" w:rsidR="003C3D27" w:rsidRDefault="00000000">
      <w:r>
        <w:t>其次，实用主义者强调，尽管我们无法永久封闭信念</w:t>
      </w:r>
      <w:r>
        <w:t>——</w:t>
      </w:r>
      <w:r>
        <w:t>意即在规范性或本体论的结论上不再需要进一步的修订信念</w:t>
      </w:r>
      <w:r>
        <w:t>——</w:t>
      </w:r>
      <w:r>
        <w:t>但为了引导实际的辩论和解决问题的过程，仍需要一些临时的结论／闭合形式（</w:t>
      </w:r>
      <w:r>
        <w:t>provisional closure</w:t>
      </w:r>
      <w:r>
        <w:t>）。这个关于临时结论的观点基于查尔斯</w:t>
      </w:r>
      <w:r>
        <w:t>·</w:t>
      </w:r>
      <w:r>
        <w:t>桑德斯</w:t>
      </w:r>
      <w:r>
        <w:t>·</w:t>
      </w:r>
      <w:r>
        <w:t>皮尔士（</w:t>
      </w:r>
      <w:r>
        <w:t>Charles Sanders Peirce</w:t>
      </w:r>
      <w:r>
        <w:t>）区分的「可谬论」（</w:t>
      </w:r>
      <w:r>
        <w:t>fallibilism</w:t>
      </w:r>
      <w:r>
        <w:t>）和「怀疑论」（</w:t>
      </w:r>
      <w:r>
        <w:t>skepticism</w:t>
      </w:r>
      <w:r>
        <w:t>）。皮尔士驳斥了以笛卡尔式根本怀疑作为出发点的观念，因为他认为实际上不可能一次性地怀疑所有东西（他将之视为「怀疑论」），但人类可以接受这一点：自己的任何一项信念最终可能被证明是错误的。因此，关键不在于寻找永远无可质疑的阿基米德点，而是始终对「任何特定信念可能是错误的」持开放态度，并因此愿意去修正自己的信念，这就是「可谬论」。</w:t>
      </w:r>
      <w:r>
        <w:rPr>
          <w:rStyle w:val="FootnoteReference"/>
        </w:rPr>
        <w:footnoteReference w:id="27"/>
      </w:r>
    </w:p>
    <w:p w14:paraId="02942EF4" w14:textId="77777777" w:rsidR="003C3D27" w:rsidRDefault="00000000">
      <w:r>
        <w:t>第三，实用主义者们，尤其是约翰</w:t>
      </w:r>
      <w:r>
        <w:t>·</w:t>
      </w:r>
      <w:r>
        <w:t>杜威（</w:t>
      </w:r>
      <w:r>
        <w:t>John Dewey</w:t>
      </w:r>
      <w:r>
        <w:t>）以及皮尔士，主张在现实存在的人类社群决策中可以找到临时结论的形式。皮尔士因为拒绝了笛卡尔式的孤独思考者这一概念而建立了该论点，并被杜威扩展成了民主的典范模式。</w:t>
      </w:r>
      <w:r>
        <w:rPr>
          <w:rStyle w:val="FootnoteReference"/>
        </w:rPr>
        <w:footnoteReference w:id="28"/>
      </w:r>
      <w:r>
        <w:t xml:space="preserve"> </w:t>
      </w:r>
      <w:r>
        <w:t>在政治决策中，所涉及的社群是所有公民的总体；对学术结论而言，所涉及的则是那批熟悉该社群作品的人群，作品由社群现有成员来评价。</w:t>
      </w:r>
    </w:p>
    <w:p w14:paraId="09D9FADF" w14:textId="77777777" w:rsidR="003C3D27" w:rsidRDefault="00000000">
      <w:r>
        <w:t>实用主义的第四条主要原则，也被一些人称作实用主义的核心标准，就是知识的发展通过解决具有实际意义的问题实现；在尝试解决问题和与经验世界的碰</w:t>
      </w:r>
      <w:r>
        <w:lastRenderedPageBreak/>
        <w:t>撞中，我们才能最有效地判断我们哪些易错可谬的信仰实际上是错误的，也正是通过碰撞，探究社群会修正错误的信念。</w:t>
      </w:r>
      <w:r>
        <w:rPr>
          <w:rStyle w:val="FootnoteReference"/>
        </w:rPr>
        <w:footnoteReference w:id="29"/>
      </w:r>
      <w:r>
        <w:t xml:space="preserve"> </w:t>
      </w:r>
      <w:r>
        <w:t>实用主义者认为，理论的实际成效是评估不同理论优劣的唯一途径。知识的发展不是通过疏离的讨论来推进，而是通过探索性地尝试改变世界的某些方面，并观察所引发的变化来实现的。</w:t>
      </w:r>
    </w:p>
    <w:p w14:paraId="0A79E148" w14:textId="77777777" w:rsidR="003C3D27" w:rsidRDefault="00000000">
      <w:r>
        <w:t>实用主义者们从他们视作毋庸置疑的自然科学的进步中获取灵感。他们试图理解这种进步如何成为可能，并从中总结经验教训，希望这些经验对其他探索领域也同样适用。</w:t>
      </w:r>
      <w:r>
        <w:rPr>
          <w:rStyle w:val="FootnoteReference"/>
        </w:rPr>
        <w:footnoteReference w:id="30"/>
      </w:r>
      <w:r>
        <w:t xml:space="preserve"> </w:t>
      </w:r>
      <w:r>
        <w:t>他们对自然科学的观察成为了论证探究社群的重要性、纠正可能的错误和修正工作的重要性，以及将问题解决过程和世界的实践接触作为有效标准的论点起源。实用主义者认为，科学的进步是思考者群体的共同成就，而非由个别人单独完成。它基于一种尝试，尝试通过实验来解决实际问题，或者简单地通过试错过程，来构建以及修正和纠正彼此的洞见。</w:t>
      </w:r>
      <w:r>
        <w:rPr>
          <w:rStyle w:val="FootnoteReference"/>
        </w:rPr>
        <w:footnoteReference w:id="31"/>
      </w:r>
      <w:r>
        <w:t xml:space="preserve"> </w:t>
      </w:r>
      <w:r>
        <w:t>实用主义框架并不承诺社群得出的结论将一定正确；反之，通过自我纠正的探究社群探索性地接触世界，它只提供了一份可修正的临时结论框架（</w:t>
      </w:r>
      <w:r>
        <w:t>a framework for provisional conclusions that can be revised</w:t>
      </w:r>
      <w:r>
        <w:t>）。</w:t>
      </w:r>
    </w:p>
    <w:p w14:paraId="00C44E55" w14:textId="77777777" w:rsidR="003C3D27" w:rsidRDefault="00000000">
      <w:r>
        <w:t>社会学实践的三个传统都在向某种形式的实用主义靠拢。例如，作为一位偏向理性论而非解放论或怀疑论的学者，沃茨审视并驳斥了好几种关于研究发现不能累积的可能解释，并最终选择了他所说的「解决方案导向的社会学」（</w:t>
      </w:r>
      <w:r>
        <w:t>solution-oriented sociology</w:t>
      </w:r>
      <w:r>
        <w:t>），这意味着人们通过尝试解决具体实际问题，将相互矛盾的发现汇集在一起。沃茨写到：「解决方案必须在现实世界中行得通，这自然就满足了可复制性的要求，从而约束社会</w:t>
      </w:r>
      <w:r>
        <w:t>-</w:t>
      </w:r>
      <w:r>
        <w:t>科学的理论化</w:t>
      </w:r>
      <w:r>
        <w:t>…</w:t>
      </w:r>
      <w:r>
        <w:t>［解决］任何具有一定难度的现实世界问题几乎肯定需要在社会</w:t>
      </w:r>
      <w:r>
        <w:t>-</w:t>
      </w:r>
      <w:r>
        <w:t>行为科学上取得根本性进展［并且］会使不融贯这一问题变得突出，迫使研究者直接解决它。」</w:t>
      </w:r>
      <w:r>
        <w:rPr>
          <w:rStyle w:val="FootnoteReference"/>
        </w:rPr>
        <w:footnoteReference w:id="32"/>
      </w:r>
      <w:r>
        <w:t xml:space="preserve"> </w:t>
      </w:r>
      <w:r>
        <w:t>这无疑是实用主义的问题解决方法。如果我们的任务是增进对社会世界的理解，学者们将不同的理性主义视角置于实证测试中寻找解决方案时，将会使他们更认真对待不同视角之间的冲突。因为解决问题为研究界设置了一项明确的目标</w:t>
      </w:r>
      <w:r>
        <w:t>——</w:t>
      </w:r>
      <w:r>
        <w:t>解决真实世界的问题，它能起到引导研究社群的作用。它提供了一种不需要明确理论范式引导下的理论积累方式</w:t>
      </w:r>
      <w:r>
        <w:rPr>
          <w:rStyle w:val="FootnoteReference"/>
        </w:rPr>
        <w:footnoteReference w:id="33"/>
      </w:r>
      <w:r>
        <w:t>，这极为关键，因为当前在社会学内部没有能产生共识的宏大范式。</w:t>
      </w:r>
      <w:r>
        <w:lastRenderedPageBreak/>
        <w:t>从问题入手能够发挥类似于以范式为起点的功能：只要贫困仍然存在，就会有衡量减贫努力的基准。这个基本底线能够作为创新灵感的来源，规范研究的标准，也是集体研究对话的共同话题。</w:t>
      </w:r>
    </w:p>
    <w:p w14:paraId="05FDCC88" w14:textId="77777777" w:rsidR="003C3D27" w:rsidRDefault="00000000">
      <w:r>
        <w:t>尝试将理性主义引导向更加实用主义方向的另一例子是批判实在论，</w:t>
      </w:r>
      <w:r>
        <w:rPr>
          <w:rStyle w:val="FootnoteReference"/>
        </w:rPr>
        <w:footnoteReference w:id="34"/>
      </w:r>
      <w:r>
        <w:t xml:space="preserve"> </w:t>
      </w:r>
      <w:r>
        <w:t>尽管这一传统似乎在回答社会学家并非真正关心的问题（比如，真实世界是否存在？随机抽样和实验方法是否是知识产生的唯一途径？关注机制和过程是否有意义？），而对于社会学家所关注的问题（如何处理日益严重的［对社会世界］不一致的理解？</w:t>
      </w:r>
      <w:r>
        <w:rPr>
          <w:rStyle w:val="FootnoteReference"/>
        </w:rPr>
        <w:footnoteReference w:id="35"/>
      </w:r>
      <w:r>
        <w:t>）则无法提供有力回答。（公平地讲，实在论关心的问题在该传统诞生的时代也许更加切中要害，可能也正是这些学者成功地将整个［社会学］领域引向了他们的立场，令他们的答案在今天看来似已成论。）</w:t>
      </w:r>
    </w:p>
    <w:p w14:paraId="749C2C13" w14:textId="77777777" w:rsidR="003C3D27" w:rsidRDefault="00000000">
      <w:r>
        <w:t>至于哈贝马斯传统，理论家德米特里</w:t>
      </w:r>
      <w:r>
        <w:t>·</w:t>
      </w:r>
      <w:r>
        <w:t>沙林在批评哈贝马斯批判理论未能充分认识到差异的价值之后指出：「在很多场合，尤其是在他的访谈中，［哈贝马斯］暗示，他个人并不急于『给混乱带来令人满意的秩序』，表明『我对任何事物都没有绝对的态度』，强调理性社会必须『尽可能地具有可谬性并对自我纠正持开放态度』，他还说『对复杂的社会结构干预后果是如此不可预测，以至于为改革过程辩护只能基于审慎的试错，在必须承担后果的人们仔细控制下进行。』」</w:t>
      </w:r>
      <w:r>
        <w:rPr>
          <w:rStyle w:val="FootnoteReference"/>
        </w:rPr>
        <w:footnoteReference w:id="36"/>
      </w:r>
      <w:r>
        <w:t xml:space="preserve"> </w:t>
      </w:r>
      <w:r>
        <w:t>也就是说，哈贝马斯个人不认为追求共识是必要的，他看到了差异性的价值，并且支持开放的必要性。尽管这些评述可能不是正式的，但最近支持协商式民主的学者们已更为全面地为理论提出了「系统转向」（</w:t>
      </w:r>
      <w:r>
        <w:t>systems turn</w:t>
      </w:r>
      <w:r>
        <w:t>），这为非理性的说服方式和更大的系统开放性提供了空间。简</w:t>
      </w:r>
      <w:r>
        <w:t>·</w:t>
      </w:r>
      <w:r>
        <w:t>曼斯布里奇（</w:t>
      </w:r>
      <w:r>
        <w:t>Jane Mansbridge</w:t>
      </w:r>
      <w:r>
        <w:t>）在这方面做了开创性的工作，她论证说，整个系统是否是协商的并不需要建立在每一次交流都必须是协商式的基础上；还有空间留给党派性论述、讲故事、抵抗等等［交流方式］。</w:t>
      </w:r>
      <w:r>
        <w:rPr>
          <w:rStyle w:val="FootnoteReference"/>
        </w:rPr>
        <w:footnoteReference w:id="37"/>
      </w:r>
      <w:r>
        <w:t xml:space="preserve"> </w:t>
      </w:r>
      <w:r>
        <w:t>正如帕金森（</w:t>
      </w:r>
      <w:r>
        <w:t>John Parkinson</w:t>
      </w:r>
      <w:r>
        <w:t>）描述的这种系统转向，「该领域的学者们更支持基于多重、有时不相容的理由达成工作协议；或更谦逊地要求</w:t>
      </w:r>
      <w:r>
        <w:lastRenderedPageBreak/>
        <w:t>在面临问题的性质上进行元协商（</w:t>
      </w:r>
      <w:r>
        <w:t>meta-deliberation</w:t>
      </w:r>
      <w:r>
        <w:t>）；或拒绝苏格拉底式理性，支持更扎根于日常经验的形式；更多讲述式、更开放的普通沟通风格，甚至更少依赖语言本身；以及更多对抗性参与的开放性。」</w:t>
      </w:r>
      <w:r>
        <w:rPr>
          <w:rStyle w:val="FootnoteReference"/>
        </w:rPr>
        <w:footnoteReference w:id="38"/>
      </w:r>
      <w:r>
        <w:t xml:space="preserve"> </w:t>
      </w:r>
      <w:r>
        <w:t>然而，在多样话语风格带来的兴奋和对竞争性的开放大潮中，很难辨认出哈贝马斯传统本应有的特征。这种转向似乎削弱了沟通理性论点的特殊力量，把我们留在了简单的探究社群之中。实际上，哈贝马斯对十九世纪实用主义者（皮尔士的作品中便预示了沟通理性的思想</w:t>
      </w:r>
      <w:r>
        <w:rPr>
          <w:rStyle w:val="FootnoteReference"/>
        </w:rPr>
        <w:footnoteReference w:id="39"/>
      </w:r>
      <w:r>
        <w:t>）表示了赞赏，而他的理论走过的路径却颇为奇怪，该理论摒弃了哈贝马斯给实用主义者带来的特定内容，让我们回到了实用主义者及其关于讨论概念和做决定的社群的论点。</w:t>
      </w:r>
    </w:p>
    <w:p w14:paraId="2653D791" w14:textId="77777777" w:rsidR="003C3D27" w:rsidRDefault="00000000">
      <w:r>
        <w:t>同样，穆芙以及其他关注差异的学者，在被问及为何如此尊重差异时，也采用了实用主义的论证。当穆芙被追问如果划分界限是不可能的，她又如何证明自己所作的区分是合理的？她回答道：「［我们］始终可以区分公正与不公正，合法与非法，但这只能根据某项特定传统内的标准来进行；事实上，没有一种能够超越所有传统，从外部提供普遍判断的观点。」</w:t>
      </w:r>
      <w:r>
        <w:rPr>
          <w:rStyle w:val="FootnoteReference"/>
        </w:rPr>
        <w:footnoteReference w:id="40"/>
      </w:r>
      <w:r>
        <w:t xml:space="preserve"> </w:t>
      </w:r>
      <w:r>
        <w:t>换言之，她认为应该向自己所属的认识论意义下的社群征询标准，正如实用主义者的主张。这种立场也被该阵营的其他人所采纳。</w:t>
      </w:r>
      <w:r>
        <w:rPr>
          <w:rStyle w:val="FootnoteReference"/>
        </w:rPr>
        <w:footnoteReference w:id="41"/>
      </w:r>
      <w:r>
        <w:t xml:space="preserve"> </w:t>
      </w:r>
      <w:r>
        <w:t>如果不同传统间的不可通约本就是我们正在苦苦应对的难题，而尊重各种传统又是穆芙的理论承诺，那么她建议寻求本传统指导似乎就显得前后不融贯。当穆芙被迫调和她理论自相矛盾之处时，她不得不依靠实用主义者的论证来作为退路，暗示自己方案的优点在于让我们避免了自满，而这暗示她转向了实用主义的可谬论：「得益于解构而产生的洞见，一种民主取径能够认识到界限的实际性质并认出其中体现的排斥形式，而非试图在理性或道德的外衣下将其隐藏起来，因此可以帮助我们避免自满的危险。」</w:t>
      </w:r>
      <w:r>
        <w:rPr>
          <w:rStyle w:val="FootnoteReference"/>
        </w:rPr>
        <w:footnoteReference w:id="42"/>
      </w:r>
      <w:r>
        <w:t xml:space="preserve"> </w:t>
      </w:r>
      <w:r>
        <w:t>这实际上将宏大的解构主义传统简化为一项简单但重要的提醒：记住我们可能犯错。</w:t>
      </w:r>
    </w:p>
    <w:p w14:paraId="79819057" w14:textId="77777777" w:rsidR="003C3D27" w:rsidRDefault="00000000">
      <w:r>
        <w:t>即便在逻辑上存在不一致，穆芙所强调的依据特定传统的内在标准也可以理解。实际上，即便是她的灵感来源</w:t>
      </w:r>
      <w:r>
        <w:t>——</w:t>
      </w:r>
      <w:r>
        <w:t>雅克</w:t>
      </w:r>
      <w:r>
        <w:t>·</w:t>
      </w:r>
      <w:r>
        <w:t>德里达（</w:t>
      </w:r>
      <w:r>
        <w:t>Jacques Derrida</w:t>
      </w:r>
      <w:r>
        <w:t>），始终否认了我们能够得出政治中规范性结论的可能，但他自己却不断就政治问题做出规范性判断并投身其中。理查德</w:t>
      </w:r>
      <w:r>
        <w:t>·</w:t>
      </w:r>
      <w:r>
        <w:t>伯恩斯坦指出，德里达「参与了抗议种族隔离的活</w:t>
      </w:r>
      <w:r>
        <w:lastRenderedPageBreak/>
        <w:t>动，为曼德拉写下了感人的赞辞，积极反对法国政府减少中学哲学教育，帮忙在巴黎启动一所新的『开放』大学，公开批评侵犯人权的行为，为女权问题发声。」</w:t>
      </w:r>
      <w:r>
        <w:rPr>
          <w:rStyle w:val="FootnoteReference"/>
        </w:rPr>
        <w:footnoteReference w:id="43"/>
      </w:r>
      <w:r>
        <w:t xml:space="preserve"> </w:t>
      </w:r>
      <w:r>
        <w:t>当被问及这种矛盾时，德里达回答：「困难在于要同时表现出相反的姿态：一方面保持对现实中官方政治规范的距离和怀疑；另一方面，在必要时，立即投身实际和积极的干预中。就个人而言，身处这样一种双重忠诚的位置，始终令我感到不安。我尽力去从事政治活动，同时认识到这样的行动与我心中解构项目的智识追求不可通约。」</w:t>
      </w:r>
      <w:r>
        <w:rPr>
          <w:rStyle w:val="FootnoteReference"/>
        </w:rPr>
        <w:footnoteReference w:id="44"/>
      </w:r>
      <w:r>
        <w:t xml:space="preserve"> </w:t>
      </w:r>
      <w:r>
        <w:t>德里达拒绝了无行动的立场（</w:t>
      </w:r>
      <w:r>
        <w:t>noncommitment and inaction</w:t>
      </w:r>
      <w:r>
        <w:t>），但如何达到为承诺和行动所需的临时结论，他没有明言；他的行动看似「在必要时」由直觉驱动，但依赖直觉似乎忽略了他的理论所指向的谦逊和［自己］可能犯错的可能性</w:t>
      </w:r>
      <w:r>
        <w:t>——</w:t>
      </w:r>
      <w:r>
        <w:t>后者是他理论的主要教训。</w:t>
      </w:r>
    </w:p>
    <w:p w14:paraId="7A8B626C" w14:textId="77777777" w:rsidR="003C3D27" w:rsidRDefault="00000000">
      <w:r>
        <w:t>类似地，米歇尔</w:t>
      </w:r>
      <w:r>
        <w:t>·</w:t>
      </w:r>
      <w:r>
        <w:t>福柯的立场本是拒绝一切政治纲领，并且他通常回避提出任何积极的计划。但在一次采访中，他提出了一种同性社交（</w:t>
      </w:r>
      <w:r>
        <w:t>homosociality</w:t>
      </w:r>
      <w:r>
        <w:t>）计划。这种计划基于希腊和罗马的模式，其中同性情谊将作为一般友情的一部分被接受，而非依循传统家庭中的求爱和婚姻模式。他颇为抒情地描述个体如何脱离了社会规则和习俗而作为朋友，作为独立的个人相遇，并且他简单地忽略了那些可能倾向于传统家庭模式的人。</w:t>
      </w:r>
      <w:r>
        <w:rPr>
          <w:rStyle w:val="FootnoteReference"/>
        </w:rPr>
        <w:footnoteReference w:id="45"/>
      </w:r>
      <w:r>
        <w:t xml:space="preserve"> </w:t>
      </w:r>
      <w:r>
        <w:t>和德里达的情况一样，这种积极愿景似乎是出自某种直觉。</w:t>
      </w:r>
    </w:p>
    <w:p w14:paraId="504BBD26" w14:textId="77777777" w:rsidR="003C3D27" w:rsidRDefault="00000000">
      <w:r>
        <w:t>事实证明，面对挑战时，哈贝马斯的态度比他的理论要更加开放，而后结构主义者们的态度则比他们的理论要更封闭。他们各自以不同的方式指出，尽管我们致力于追求理解，但并不意味着我们能够真正达成理解；即使我们认识到了矛盾和不确定性，也不能据此就停止行动，因为即便我们处于不确定性之中，仍然必须行动，全赖不行动本身也是行动的一种。皮埃尔</w:t>
      </w:r>
      <w:r>
        <w:t>·</w:t>
      </w:r>
      <w:r>
        <w:t>布迪厄（</w:t>
      </w:r>
      <w:r>
        <w:t>Pierre Bourdieu</w:t>
      </w:r>
      <w:r>
        <w:t>）的研究可被看作是一次有趣的尝试，他试图将怀疑论传统引向实用主义的方向。尽管布迪厄在理论著作中明确强调了自主科学社群和参与的必要性，他本人的实证研究及许多受他启发的工作，却满足于仅仅描述话语及提出分类体系，而没有尝试提出或检验可能的解决方案。</w:t>
      </w:r>
      <w:r>
        <w:rPr>
          <w:rStyle w:val="FootnoteReference"/>
        </w:rPr>
        <w:footnoteReference w:id="46"/>
      </w:r>
      <w:r>
        <w:t xml:space="preserve"> </w:t>
      </w:r>
      <w:r>
        <w:t>这类研究固然重要，但仍不足够，因为它倾</w:t>
      </w:r>
      <w:r>
        <w:lastRenderedPageBreak/>
        <w:t>向于不作为和自主性（</w:t>
      </w:r>
      <w:r>
        <w:t>inaction and autonomy</w:t>
      </w:r>
      <w:r>
        <w:t>）的那一极，而非积极参与（</w:t>
      </w:r>
      <w:r>
        <w:t>engagement</w:t>
      </w:r>
      <w:r>
        <w:t>）的那一极。例如，布迪厄式的研究就如何在不确定性中采取行动的问题上，没能提供实质性帮助。</w:t>
      </w:r>
    </w:p>
    <w:p w14:paraId="04A434A6" w14:textId="77777777" w:rsidR="003C3D27" w:rsidRDefault="00000000">
      <w:r>
        <w:t>实用主义框架吸引人之处在于，它实际上提供了行动上的指引，确认了既追求开放性又需要结论的原则。无论是解放论者或怀疑论者，还是像沃茨这样的理性论者，他们归根到底所寻求的都是实用主义的原则。正如哈贝马斯直接受到实用主义者的启发</w:t>
      </w:r>
      <w:r>
        <w:rPr>
          <w:rStyle w:val="FootnoteReference"/>
        </w:rPr>
        <w:footnoteReference w:id="47"/>
      </w:r>
      <w:r>
        <w:t>，穆芙也对实用主义的某些特点表达了认同。</w:t>
      </w:r>
      <w:r>
        <w:rPr>
          <w:rStyle w:val="FootnoteReference"/>
        </w:rPr>
        <w:footnoteReference w:id="48"/>
      </w:r>
      <w:r>
        <w:t xml:space="preserve"> </w:t>
      </w:r>
      <w:r>
        <w:t>实用主义者通过拒绝「唯根基论」（</w:t>
      </w:r>
      <w:r>
        <w:t>foundationalism</w:t>
      </w:r>
      <w:r>
        <w:t>），将我们带出了哈贝马斯立场的困境，并且通过指出某些临时结论的原则，实用主义者避开了后结构主义的窘境，通过允许形成对抗性视角使得相互竞争的模型变得更加合理。而且，实用主义的问题解决还为理性主义社会学的计划提供指导，并对不融贯问题提出了解决之道。</w:t>
      </w:r>
    </w:p>
    <w:p w14:paraId="2A846F9D" w14:textId="77777777" w:rsidR="003C3D27" w:rsidRDefault="00000000">
      <w:r>
        <w:t>因此，社会学实践中的几种不同传统已经独立地探索出了实用主义的方法，并且发展这样的方法对整个学科来说，充满了发展潜力。</w:t>
      </w:r>
    </w:p>
    <w:p w14:paraId="35BAB36D" w14:textId="77777777" w:rsidR="003C3D27" w:rsidRDefault="00000000">
      <w:pPr>
        <w:pStyle w:val="Heading2"/>
      </w:pPr>
      <w:bookmarkStart w:id="4" w:name="实用主义作为更好的镜子"/>
      <w:bookmarkEnd w:id="3"/>
      <w:r>
        <w:t>实用主义作为更好的镜子</w:t>
      </w:r>
    </w:p>
    <w:p w14:paraId="56822AD2" w14:textId="77777777" w:rsidR="003C3D27" w:rsidRDefault="00000000">
      <w:r>
        <w:t>在过去几十年中，实用主义渐渐成为社会学家们关注的焦点。然而，社会学界对实用主义的研究，本身并不总是非常实用主义。实用主义传统的核心理念是「</w:t>
      </w:r>
      <w:r w:rsidRPr="00C77A6B">
        <w:rPr>
          <w:rFonts w:ascii="KaiTi" w:eastAsia="KaiTi" w:hAnsi="KaiTi"/>
          <w:iCs/>
        </w:rPr>
        <w:t>知识的发展来源于尝试解决现实世界的实际问题</w:t>
      </w:r>
      <w:r>
        <w:t>」。正如最初的实用主义者们设想的，解决问题是一种实践，一整个社群投入到检验经验世界，并为了改变某个该社群认为亟待变革的特定情境而进行的实践（</w:t>
      </w:r>
      <w:r>
        <w:t>a practice in which a community engages in examinations of the empirical world in order to change a particular empirical situation the community has defined as in need of change</w:t>
      </w:r>
      <w:r>
        <w:t>）。改变任何事物都有难度，这确保了改变的过程将产生新的知识，包括可能彻底改写社群核心原则和信念的新知识。研究自然科学史的学者们认为这种理解是准确的，并且在过去的一个世纪中，试图解决实际问题的确是知识进步的一种方式。</w:t>
      </w:r>
      <w:r>
        <w:rPr>
          <w:rStyle w:val="FootnoteReference"/>
        </w:rPr>
        <w:lastRenderedPageBreak/>
        <w:footnoteReference w:id="49"/>
      </w:r>
    </w:p>
    <w:p w14:paraId="5AB1AC67" w14:textId="77777777" w:rsidR="003C3D27" w:rsidRDefault="00000000">
      <w:r>
        <w:t>但是，当下那些书写关于实用主义的社会学家们的研究并没有力求通过解决现实世界的问题来推动人类知识的进步，而这也正是促成实用主义复苏的主流研究的现状。事实上，社会学中的实用主义者们常常只是想证明社会行动者的行为与实用主义对现实的描述相吻合。例如，汉斯</w:t>
      </w:r>
      <w:r>
        <w:t>·</w:t>
      </w:r>
      <w:r>
        <w:t>约阿斯（</w:t>
      </w:r>
      <w:r>
        <w:t>Hans Joas</w:t>
      </w:r>
      <w:r>
        <w:t>）在</w:t>
      </w:r>
      <w:r>
        <w:t>1990</w:t>
      </w:r>
      <w:r>
        <w:t>年代的著作让社会学界对实用主义给予了持续的注意力，他引用实用主义的观点指出基于理性或规范的行动理论忽视了人类创造性扮演的重要角色。</w:t>
      </w:r>
      <w:r>
        <w:rPr>
          <w:rStyle w:val="FootnoteReference"/>
        </w:rPr>
        <w:footnoteReference w:id="50"/>
      </w:r>
      <w:r>
        <w:t xml:space="preserve"> </w:t>
      </w:r>
      <w:r>
        <w:t>乔什</w:t>
      </w:r>
      <w:r>
        <w:t>·</w:t>
      </w:r>
      <w:r>
        <w:t>惠特福德（</w:t>
      </w:r>
      <w:r>
        <w:t>Josh Whitford</w:t>
      </w:r>
      <w:r>
        <w:t>）用实用主义理论作为支撑，提出行动者是通过行动来推进目标，而非在行动前［就目标明确］。他以此来批评理性选择理论。</w:t>
      </w:r>
      <w:r>
        <w:rPr>
          <w:rStyle w:val="FootnoteReference"/>
        </w:rPr>
        <w:footnoteReference w:id="51"/>
      </w:r>
      <w:r>
        <w:t xml:space="preserve"> </w:t>
      </w:r>
      <w:r>
        <w:t>尼尔</w:t>
      </w:r>
      <w:r>
        <w:t>·</w:t>
      </w:r>
      <w:r>
        <w:t>格罗斯（</w:t>
      </w:r>
      <w:r>
        <w:t>Neil Gross</w:t>
      </w:r>
      <w:r>
        <w:t>）从实用主义关注解决问题这一点出发，发展出了社会学中的一种「机制」理论，他认为这应被理解为行动者面临问题时所依赖的习惯或创造性的行动序列，并且这种做法可能导致社会情境的再生或变革。</w:t>
      </w:r>
      <w:r>
        <w:rPr>
          <w:rStyle w:val="FootnoteReference"/>
        </w:rPr>
        <w:footnoteReference w:id="52"/>
      </w:r>
      <w:r>
        <w:t>。</w:t>
      </w:r>
    </w:p>
    <w:p w14:paraId="6D2FDDC2" w14:textId="77777777" w:rsidR="003C3D27" w:rsidRDefault="00000000">
      <w:r>
        <w:t>这些作者认为实用主义对行动的理解优于其他理论的见解；用理查德</w:t>
      </w:r>
      <w:r>
        <w:t>·</w:t>
      </w:r>
      <w:r>
        <w:t>罗蒂（</w:t>
      </w:r>
      <w:r>
        <w:t>Richard Rorty</w:t>
      </w:r>
      <w:r>
        <w:t>）的表述</w:t>
      </w:r>
      <w:r>
        <w:rPr>
          <w:rStyle w:val="FootnoteReference"/>
        </w:rPr>
        <w:footnoteReference w:id="53"/>
      </w:r>
      <w:r>
        <w:t>，他们认为实用主义像一面更好的镜子一样更能反映世界的真实面貌，这面镜子比其他理论框架更好地映照现实。这些对实用主义重新关注的贡献声明，并没有真正尝试去解决世界上的实际问题。它们倒是解决了社会学内部的一些问题，比如行动是否能够被理解为理性的，或者机制到底是什么。虽然解决学科内部的问题可能对解决更广泛的问题产生连带影响，但近来的社会学实用主义者并没有展示出这种作用。</w:t>
      </w:r>
    </w:p>
    <w:p w14:paraId="605B3C5B" w14:textId="77777777" w:rsidR="003C3D27" w:rsidRDefault="00000000">
      <w:r>
        <w:t>格罗斯本人甚至担忧这种状况意味着许多社会学实用主义者对我们理解社会作出的贡献很小。在他对穆斯塔法</w:t>
      </w:r>
      <w:r>
        <w:t>·</w:t>
      </w:r>
      <w:r>
        <w:t>埃米尔拜尔和马修</w:t>
      </w:r>
      <w:r>
        <w:t>·</w:t>
      </w:r>
      <w:r>
        <w:t>戴斯蒙德（</w:t>
      </w:r>
      <w:r>
        <w:t>Mustafa Emirbayer and Matthew Desmond</w:t>
      </w:r>
      <w:r>
        <w:t>）的实用主义分析著作《种族秩序》（</w:t>
      </w:r>
      <w:r>
        <w:rPr>
          <w:i/>
          <w:iCs/>
        </w:rPr>
        <w:t>The Racial Order</w:t>
      </w:r>
      <w:r>
        <w:t>）的有同理心的审视中，格罗斯认为这本书证明了许多实用主义前提的价值，但似乎并没有真正改变我们对种族的理解：「虽然有可能从领域的角度来考虑种族，但埃米尔拜尔和戴斯蒙德并未有力地证明，这样做的实用性或解释性好处有多大，或者超出了任何一个融贯和合理的理论框架为我们提供新视角的常规</w:t>
      </w:r>
      <w:r>
        <w:lastRenderedPageBreak/>
        <w:t>贡献。」</w:t>
      </w:r>
      <w:r>
        <w:rPr>
          <w:rStyle w:val="FootnoteReference"/>
        </w:rPr>
        <w:footnoteReference w:id="54"/>
      </w:r>
      <w:r>
        <w:t xml:space="preserve"> </w:t>
      </w:r>
      <w:r>
        <w:t>当社会学实用主义者真的参与进社会问题的研究时，有时可能会落入怀疑论传统常见的那种历史渊源研究</w:t>
      </w:r>
      <w:r>
        <w:rPr>
          <w:rStyle w:val="FootnoteReference"/>
        </w:rPr>
        <w:footnoteReference w:id="55"/>
      </w:r>
      <w:r>
        <w:t>；这类研究可能本身很有吸引力，甚至对问题解决背景的了解可能也有所助益，但似乎并不真正贯彻实用主义试图解决问题的理念。</w:t>
      </w:r>
    </w:p>
    <w:p w14:paraId="27276A05" w14:textId="77777777" w:rsidR="003C3D27" w:rsidRDefault="00000000">
      <w:r>
        <w:t>在寻找确实会解决问题的社会学实用主义学术成果时，格罗斯指出了那些试图解决智识传统内部问题的学术研究，如何利用实用主义原则来阐释大型现象。</w:t>
      </w:r>
      <w:r>
        <w:rPr>
          <w:rStyle w:val="FootnoteReference"/>
        </w:rPr>
        <w:footnoteReference w:id="56"/>
      </w:r>
      <w:r>
        <w:t xml:space="preserve"> </w:t>
      </w:r>
      <w:r>
        <w:t>然而，正如在同一篇论文中所述，格罗斯总结了实用主义者约翰</w:t>
      </w:r>
      <w:r>
        <w:t>·</w:t>
      </w:r>
      <w:r>
        <w:t>杜威的观点，他说实用主义者认为「只有那些与其自然主义目的严重脱节的哲学才会假装有待解决的唯一问题和危机是它自己内部的问题。杜威的另一种看法是哲学必须关注目前有意义的现实世界问题。」</w:t>
      </w:r>
      <w:r>
        <w:rPr>
          <w:rStyle w:val="FootnoteReference"/>
        </w:rPr>
        <w:footnoteReference w:id="57"/>
      </w:r>
    </w:p>
    <w:p w14:paraId="2E1AF811" w14:textId="77777777" w:rsidR="003C3D27" w:rsidRDefault="00000000">
      <w:r>
        <w:t>正如约翰</w:t>
      </w:r>
      <w:r>
        <w:t>·</w:t>
      </w:r>
      <w:r>
        <w:t>霍姆伍德（</w:t>
      </w:r>
      <w:r>
        <w:t>John Holmwood</w:t>
      </w:r>
      <w:r>
        <w:t>）所指出的，这种状况颇为不合常理：「许多对实用主义抱有好感的理论家们支持建立一种普遍实用主义，这种实用主义力图建立一种行动理论，提供社会研究的基础范畴</w:t>
      </w:r>
      <w:r>
        <w:t>….</w:t>
      </w:r>
      <w:r>
        <w:t>可讽刺的是，这正迫使他们支持了其他人认为有问题的那种社会学理论风格，即与帕森斯提出的非常相似的普遍理论模式。」</w:t>
      </w:r>
      <w:r>
        <w:rPr>
          <w:rStyle w:val="FootnoteReference"/>
        </w:rPr>
        <w:footnoteReference w:id="58"/>
      </w:r>
      <w:r>
        <w:t xml:space="preserve"> </w:t>
      </w:r>
      <w:r>
        <w:t>他建议我们不要将这些学者的作品称为实用主义，而应该称之为「基于行动的一般理论构建。」</w:t>
      </w:r>
      <w:r>
        <w:rPr>
          <w:rStyle w:val="FootnoteReference"/>
        </w:rPr>
        <w:footnoteReference w:id="59"/>
      </w:r>
    </w:p>
    <w:p w14:paraId="5BAB6B22" w14:textId="77777777" w:rsidR="003C3D27" w:rsidRDefault="00000000">
      <w:r>
        <w:t>当前社会学中将「实用主义视为反映世界的更好的镜子」的理念从实用主义者的作品中提炼出了一种行动理论，将人看作是问题的解决者，并以此愿景为基础构建社会学解释。这样一来，实用主义不再是一种探寻不断更新见解的方法，而是变为了某种特定的见解或框架。当然，社会学的实用主义研究即使不遵循实用主义原则，也可以是有趣并有价值的。应当指出，将实用主义理性化翻译或许是让实用主义进入主流社会学的唯一方式。但是，除非这种特殊框架明确被引向解决实际问题的方向，否则它只会成为理性主义社会学这个错综复杂的大杂烩中又一面令人困惑的镜子。</w:t>
      </w:r>
    </w:p>
    <w:p w14:paraId="5A39D1B7" w14:textId="77777777" w:rsidR="003C3D27" w:rsidRDefault="00000000">
      <w:pPr>
        <w:pStyle w:val="Heading2"/>
      </w:pPr>
      <w:bookmarkStart w:id="5" w:name="实用主义作为问题解决方法"/>
      <w:bookmarkEnd w:id="4"/>
      <w:r>
        <w:lastRenderedPageBreak/>
        <w:t>实用主义作为问题解决方法</w:t>
      </w:r>
    </w:p>
    <w:p w14:paraId="772F3590" w14:textId="77777777" w:rsidR="003C3D27" w:rsidRDefault="00000000">
      <w:r>
        <w:t>因此，理解本书论点的一种方式是它邀请社会学真正转向实用主义。不仅是去赞赏实用主义，而是要将其实例化。但是，实用主义者们笔下距今已达一个世纪的思想与研究不应被轻易忽视。结合了二十世纪社会科学中因果关系认知的十九世纪实用主义洞察将更有效。可以说，解决问题就是将实用主义与因果关系结合起来的产物。</w:t>
      </w:r>
    </w:p>
    <w:p w14:paraId="6926DE94" w14:textId="77777777" w:rsidR="003C3D27" w:rsidRDefault="00000000">
      <w:r>
        <w:t>如果有人试图实践实用主义</w:t>
      </w:r>
      <w:r>
        <w:t>——</w:t>
      </w:r>
      <w:r>
        <w:t>而非仅仅赞扬它，并展现其对人类行为和社会动态的一些理解依然不过时</w:t>
      </w:r>
      <w:r>
        <w:t>——</w:t>
      </w:r>
      <w:r>
        <w:t>那么他会遇到一些亟待解决的难题。虽然从问题出发，尝试通过与经验证据的碰撞来解决它的过程看似简单直接，但任何进行这项研究的学者都会立即面临一系列棘手问题，尤其是本书中一直在讨论的两个核心问题：如何确定问题以及如何解决问题。</w:t>
      </w:r>
    </w:p>
    <w:p w14:paraId="1335CAFB" w14:textId="77777777" w:rsidR="003C3D27" w:rsidRDefault="00000000">
      <w:r>
        <w:t>首先，究竟什么是「问题」？一位关注客观性或自我反思的研究者应该如何确定问题？在自然科学中，可能存在有跨越规范性框架的广泛共识将某些现象构筑成问题，比如癌症。但在社会议题上，由于共识的缺失，实用主义把什么是问题的最终裁定权交给了社群；然而，这样的方法可能会受到占主导地位的社群现行标准的影响，这些标准可能又转而为这些群体谋利。</w:t>
      </w:r>
      <w:r>
        <w:rPr>
          <w:rStyle w:val="FootnoteReference"/>
        </w:rPr>
        <w:footnoteReference w:id="60"/>
      </w:r>
      <w:r>
        <w:t xml:space="preserve"> </w:t>
      </w:r>
      <w:r>
        <w:t>实用主义者认为，基于自然科学的进步，他们对知识进展怀抱的希望是有理由的。不过，他们在自然科学上的判断是否正确尚无定论，我们更不能假定他们在人文和社会科学，或者更广泛的任何政治社群中同样正确，因为在这些领域，进步的定义本身存在更多争议。社群可能持有错误观念，任何社群内部都存在被边缘化和持有异见的声音，而不同社群也会认定不同的问题。</w:t>
      </w:r>
      <w:r>
        <w:rPr>
          <w:rStyle w:val="FootnoteReference"/>
        </w:rPr>
        <w:footnoteReference w:id="61"/>
      </w:r>
    </w:p>
    <w:p w14:paraId="11B8B24A" w14:textId="77777777" w:rsidR="003C3D27" w:rsidRDefault="00000000">
      <w:r>
        <w:t>另外，社会学家所涉及的许多或绝大多数社会问题，并不是那种能够通过单一研究或者由一代人解决的问题。比方说，一些学者批评实用主义传统对权力的重要性视而不见，并且对人类行为动机持一种天真的乐观态度，认为人们总是愿意解决问题，实用主义传统的这种倾向忽视了因个人贪婪和利己心而导致对某些人有利但对他人有害的结果根深蒂固地存在。其他学者指出，实用主义仅仅能处理那些与全球资本主义统治的现实相去甚远的局部问题或小问题。</w:t>
      </w:r>
      <w:r>
        <w:rPr>
          <w:rStyle w:val="FootnoteReference"/>
        </w:rPr>
        <w:footnoteReference w:id="62"/>
      </w:r>
      <w:r>
        <w:t xml:space="preserve"> </w:t>
      </w:r>
      <w:r>
        <w:t>社会科学家面对的另一项挑战是，与自然科学家所研究的对象不同，他们研究的现象不断变化，有时这种变化就是为了适应它们正被研究的情形。当然，建议研究者简单地进行一次实验，并看看会发生什么，这么做忽视了在重大问题上开展实验的困</w:t>
      </w:r>
      <w:r>
        <w:lastRenderedPageBreak/>
        <w:t>难，以及对任何实验结果意义的共识缺失。</w:t>
      </w:r>
    </w:p>
    <w:p w14:paraId="759C6FB6" w14:textId="77777777" w:rsidR="003C3D27" w:rsidRDefault="00000000">
      <w:r>
        <w:t>一句话，自然科学中的问题、经验证据和解决方案都可能更容易确定。当某问题实际上无法解决时，「解决问题」又意味着什么呢？</w:t>
      </w:r>
    </w:p>
    <w:p w14:paraId="0D76871E" w14:textId="77777777" w:rsidR="003C3D27" w:rsidRDefault="00000000">
      <w:r>
        <w:t>对于一本鼓吹实用主义方法的书来说，实际上，那些问题在理论上比在实践中要显得更加棘手。不同于解放论、怀疑论和理性论传统遇到的无解问题，实用主义试图解决问题时面临的难题其实只是表面上的障碍。我在这里分析了两项研究成果，它们分别针对这些问题提出了解决方法，并为被视为问题解决工具的实用主义指明了一些发展方向；一项研究采用了「实用主义作为更好的镜子」方法，而另一项则结合了「实用主义加上因果关系」，即我们所说的「问题解决」策略。</w:t>
      </w:r>
    </w:p>
    <w:p w14:paraId="172A2FE4" w14:textId="77777777" w:rsidR="003C3D27" w:rsidRDefault="00000000">
      <w:r>
        <w:t>第一项研究颇为特别，它是社会学实用主义对实际世界问题进行了实质性探讨的努力，埃里克</w:t>
      </w:r>
      <w:r>
        <w:t>·</w:t>
      </w:r>
      <w:r>
        <w:t>施耐德汉（</w:t>
      </w:r>
      <w:r>
        <w:t>Erik Schneiderhan</w:t>
      </w:r>
      <w:r>
        <w:t>）就是通过实用主义的视角来审视种族灭绝问题。</w:t>
      </w:r>
      <w:r>
        <w:rPr>
          <w:rStyle w:val="FootnoteReference"/>
        </w:rPr>
        <w:footnoteReference w:id="63"/>
      </w:r>
      <w:r>
        <w:t xml:space="preserve"> </w:t>
      </w:r>
      <w:r>
        <w:t>我们之所以分析这篇文章，并不是因为它质量差，恰恰相反，它是一篇优秀的研究，但它所采用的方法</w:t>
      </w:r>
      <w:r>
        <w:t>——</w:t>
      </w:r>
      <w:r>
        <w:t>那就是透过理论视镜来阅读具体案例</w:t>
      </w:r>
      <w:r>
        <w:t>——</w:t>
      </w:r>
      <w:r>
        <w:t>被证明是不完备的。施耐德汉认为，种族灭绝的行为并不由文化、规范、利益或预谋推动，而是发生在实践中，并通过转向话语来为之辩护。这是对杜威所说的「所见之目的」（</w:t>
      </w:r>
      <w:r>
        <w:t>“ends-in-view”</w:t>
      </w:r>
      <w:r>
        <w:t>）理论的一种运用。杜威认为人的行动目标可能在行动过程中，甚至在行动之后形成，而不仅仅是促成这些行动的原因。施耐德汉引用其他学者的话来支持他的观点：「屠杀行为并不一定是从一开始就有意为之。那些施暴者可能尝试实施压制或破坏其他群体的计划，却发现自己的努力受阻。」</w:t>
      </w:r>
      <w:r>
        <w:rPr>
          <w:rStyle w:val="FootnoteReference"/>
        </w:rPr>
        <w:footnoteReference w:id="64"/>
      </w:r>
      <w:r>
        <w:t xml:space="preserve"> </w:t>
      </w:r>
      <w:r>
        <w:t>这个问题推动了一个困惑与自省的阶段，之后就演变成实际的杀戮行动。</w:t>
      </w:r>
    </w:p>
    <w:p w14:paraId="487BF4D3" w14:textId="77777777" w:rsidR="003C3D27" w:rsidRDefault="00000000">
      <w:r>
        <w:t>施耐德汉确实关注了一个实际存在的问题，他对「所见之目的」的理解方式做出了自己的贡献。然而，他的分析也揭示了按这种方式应用实用主义方法的限制，因为他不能进一步解释这些行动为何发生；作为分析核心的杀戮行为，仍然是未解之谜。分析者可能会提出杀戮是「创新」的结果，却无法解释为何创新会采取这种形式。施耐德汉在实用主义的框架内对事件进行了重新描述，并由此得出洞见，但他没有测试这个框架与其他可能性的对比以产生新知识。而且，他最主要的洞见，即大规模杀戮并不是初始意图，实际上重复了非实用主义学者，如迈克尔</w:t>
      </w:r>
      <w:r>
        <w:t>·</w:t>
      </w:r>
      <w:r>
        <w:t>曼恩（</w:t>
      </w:r>
      <w:r>
        <w:t>Michael Mann</w:t>
      </w:r>
      <w:r>
        <w:t>）的观点。</w:t>
      </w:r>
      <w:r>
        <w:rPr>
          <w:rStyle w:val="FootnoteReference"/>
        </w:rPr>
        <w:footnoteReference w:id="65"/>
      </w:r>
      <w:r>
        <w:t xml:space="preserve"> </w:t>
      </w:r>
      <w:r>
        <w:t>施耐德汉的贡献在于将这种洞见视作支持实用主义作为更佳镜子的主张的证据，但这面镜子还没能向我们映照出关于</w:t>
      </w:r>
      <w:r>
        <w:lastRenderedPageBreak/>
        <w:t>种族灭绝我们尚未知晓的内容。</w:t>
      </w:r>
    </w:p>
    <w:p w14:paraId="566C28EE" w14:textId="77777777" w:rsidR="003C3D27" w:rsidRDefault="00000000">
      <w:r>
        <w:t>相对而言，让我们来看第二篇论文，阿丽莎</w:t>
      </w:r>
      <w:r>
        <w:t>·</w:t>
      </w:r>
      <w:r>
        <w:t>卢夫（</w:t>
      </w:r>
      <w:r>
        <w:t>Aliza Luft</w:t>
      </w:r>
      <w:r>
        <w:t>）对卢旺达种族灭绝行为的研究，她得出的具体洞见比施耐德汉更进了一步，帮助我们深入了解这个谜团。</w:t>
      </w:r>
      <w:r>
        <w:rPr>
          <w:rStyle w:val="FootnoteReference"/>
        </w:rPr>
        <w:footnoteReference w:id="66"/>
      </w:r>
      <w:r>
        <w:t xml:space="preserve"> </w:t>
      </w:r>
      <w:r>
        <w:t>卢夫也采用了「所见之目的」的视角，但她将其与一个明确的比较策略结合起来。她特别比较了同一批人在施暴与不施暴之间的行为差异。她最有趣的论点之一是，人们在独自一人时更不可能进行杀戮</w:t>
      </w:r>
      <w:r>
        <w:t>——</w:t>
      </w:r>
      <w:r>
        <w:t>即便那个广泛的社会环境相同，话语相同，甚至是同一个</w:t>
      </w:r>
      <w:r w:rsidRPr="00C77A6B">
        <w:rPr>
          <w:rFonts w:ascii="KaiTi" w:eastAsia="KaiTi" w:hAnsi="KaiTi"/>
          <w:iCs/>
        </w:rPr>
        <w:t>人</w:t>
      </w:r>
      <w:r>
        <w:t>。唯有情境不同。这一观察与社会心理学的论点相符，即在团体中，由于道德责任被分散，以至于没有个体为集体所作所为感到责任重大，因此团体更倾向于采取极端行动，</w:t>
      </w:r>
      <w:r>
        <w:rPr>
          <w:rStyle w:val="FootnoteReference"/>
        </w:rPr>
        <w:footnoteReference w:id="67"/>
      </w:r>
      <w:r>
        <w:t xml:space="preserve"> </w:t>
      </w:r>
      <w:r>
        <w:t>但这并不是</w:t>
      </w:r>
      <w:r w:rsidRPr="00C77A6B">
        <w:rPr>
          <w:rFonts w:ascii="KaiTi" w:eastAsia="KaiTi" w:hAnsi="KaiTi"/>
          <w:iCs/>
        </w:rPr>
        <w:t>简单引用</w:t>
      </w:r>
      <w:r>
        <w:t>之前的洞见。卢夫在证明这种视角能够应用于种族灭绝研究中，不仅借鉴了实用主义行为理论，也超越了来自社会心理学的洞见。</w:t>
      </w:r>
    </w:p>
    <w:p w14:paraId="0E6B09FB" w14:textId="77777777" w:rsidR="003C3D27" w:rsidRDefault="00000000">
      <w:r>
        <w:t>卢夫所使用的跨案例比较方法使她能够深入研究因果关系。我们之前讨论过，「解决」意味着要确认在</w:t>
      </w:r>
      <w:r>
        <w:t>T1</w:t>
      </w:r>
      <w:r>
        <w:t>（存在问题的时间点）和</w:t>
      </w:r>
      <w:r>
        <w:t>T2</w:t>
      </w:r>
      <w:r>
        <w:t>（问题不再存在的时间点）之间的区别，以及理论上如何从</w:t>
      </w:r>
      <w:r>
        <w:t>T1</w:t>
      </w:r>
      <w:r>
        <w:t>通向</w:t>
      </w:r>
      <w:r>
        <w:t>T2</w:t>
      </w:r>
      <w:r>
        <w:t>。这实际上要求对因果关系进行分析。进一步来说，分析可以细分为三个因果问题：确认问题的原因（卢夫的研究焦点）、确认可能解决问题的原因（这可能与仅仅移除问题原因不同，因为原因可能存在于遥远的过去），以及确认是什么导致了解决方案可以实现或被阻止（例如，识别变革的机制或抵制变革的机制）。当然，在此之前必须先确认并描述问题，但识别和描述本身并不等同于解决问题，也不太可能带来新理论知识的产生，后者正是实用主义的独特承诺。此外，就生成新知识的目的来看，采用特定的关于社会行动理的论框架并应用它，这种方法有其局限性。因为无论这个理论框架多么吸引人，分析人员多么能干，除非可以展示该框架确实能为我们揭示世界的新面貌，［则其局限性无法被排除］。一条更有希望的路线要求明确地关注因果关系并至少间接地讨论反事实情况。（如第四章所讨论，如果我们对广泛原理不感兴趣，仅尝试证伪某个假设，那么我们可以在不涉及反事实的条件下识别因果关系；但是，问题解决本质上包含了从一个情况的过去推广到其将来的过程，而解决问题往往是关于创造新想法，而不仅仅是验证既有想法。）</w:t>
      </w:r>
    </w:p>
    <w:p w14:paraId="3B6A9BA7" w14:textId="77777777" w:rsidR="003C3D27" w:rsidRDefault="00000000">
      <w:r>
        <w:t>跨案例比较是一种强大的工具，它能够凸显出反事实而助力探究因果关系。这就是卢夫能够深入洞察种族灭绝杀戮发生的特定环境的原因。她分析了事件发生和未发生的地方。而施耐德汉则利用「所见之目的」视角有效地排除了一种潜在解释（把「杀戮作为目标」当成杀戮的原因），但无法提供一个备选解释。这暗示了需要在「作为问题解决工具的实用主义体系」中明确纳入一个世纪以来因果关系研究的成果，以及近期关于比较重要性的方法论辩论所引出的洞见和技巧。</w:t>
      </w:r>
    </w:p>
    <w:p w14:paraId="03E23BB9" w14:textId="77777777" w:rsidR="003C3D27" w:rsidRDefault="00000000">
      <w:r>
        <w:t>关于先前讨论过的「如何定义问题」及「如何解决实际无法解决的问题」，我</w:t>
      </w:r>
      <w:r>
        <w:lastRenderedPageBreak/>
        <w:t>似乎通过关注种族灭绝这样一个相对不那么有争议的议题，间接规避了「是否存在共识」这一问题。如果我给读者留下了这样的印象，这说明即便在社会科学领域，仍有一些诸如婴儿死亡率、毒品成瘾、食水安全等问题是大家公认需要解决的。解决上述问题不仅需要，而且还必将显著推动对社会秩序和社会变革更深刻的理解。还有一些问题，如贫困，尽管我们对其可能的解决途径产生广泛的分歧，但问题本身很清晰。</w:t>
      </w:r>
    </w:p>
    <w:p w14:paraId="1919EAD2" w14:textId="77777777" w:rsidR="003C3D27" w:rsidRDefault="00000000">
      <w:r>
        <w:t>不过，关于如何处理规范性议题，卢夫以及施耐德汉能够展示给我们更深刻和更具普遍意义的一课：</w:t>
      </w:r>
      <w:r w:rsidRPr="00C77A6B">
        <w:rPr>
          <w:rFonts w:ascii="KaiTi" w:eastAsia="KaiTi" w:hAnsi="KaiTi"/>
          <w:iCs/>
        </w:rPr>
        <w:t>他们都在把规范性问题转换为分析性问题</w:t>
      </w:r>
      <w:r>
        <w:t>。例如，卢夫关于集体中更有可能发生杀戮的观点并不是仅仅由于我们关心如何减少种族灭绝才显得有意义。事实上，问题的研究者在分析过程中并不需要对规范性问题表达立场；相反，将这些规范性问题转换为分析性问题方能最好地解答它们。这一取径甚至可以推广到那些并非被普遍当作「问题」的议题，比如种族主义或性别歧视。人们可能对性别歧视是否构成问题存在分歧，但是一项旨在分析何种条件下雇主会或不会基于性别进行歧视的实证研究，实质上是在提出一道分析性的问题，而非规范性的。这是关于社会的问题，提供了在个人、组织和社会各个层面进行广泛探究的契机。虽然公开地讨论规范性问题在其他方面可能很有价值，并且认清自己的规范性信仰对于解决问题至关重要，但要推进实证研究议程，并非必须先对问题的定义达成普遍共识。</w:t>
      </w:r>
    </w:p>
    <w:p w14:paraId="12524020" w14:textId="77777777" w:rsidR="003C3D27" w:rsidRDefault="00000000">
      <w:r>
        <w:t>同理，问题是否容易被解决并不应该成为研究的阻碍。卢夫没有解决种族灭绝问题</w:t>
      </w:r>
      <w:r>
        <w:t>——</w:t>
      </w:r>
      <w:r>
        <w:t>正如没有任何单项研究可以解决癌症一样</w:t>
      </w:r>
      <w:r>
        <w:t>——</w:t>
      </w:r>
      <w:r>
        <w:t>但通过对这个问题的深入研究，她识别了产生杀戮的条件，尤其是如何以及何时杀戮不会发生，从而向解决这一问题迈进了一大步。由于她找到了关于因果关系的具体见解，她的工作引出了研究工作中的下一步，例如这样的问题：什么社会心理因素降低了群体中出现更多杀戮的现象？哪些政策能减少导致这种人群的聚集？决策者和维和部队需要采取哪些措施来执行这些政策？是什么权力结构阻止这些政策的实施？尽管施耐德汉的研究并未明确指出下一步该如何进行，但卢夫的工作得出了关于因果关系的具体见解，由此展现了一项围绕理解因果链的新研究议程。比较策略可以同样有力地用于探答这些新提出的问题。而且，用比较来构建因果分析的手段无疑能够（而且已经被）应用于大型或全球性问题，比如如何实现社会变革，以实际革命和不革命作为验证实证的基础。</w:t>
      </w:r>
    </w:p>
    <w:p w14:paraId="7872CA30" w14:textId="77777777" w:rsidR="003C3D27" w:rsidRDefault="00000000">
      <w:r>
        <w:t>这一流程可以概括为：把规范性问题转化为分析性问题，瞄准探索关于因果关系的新知识，特别是通过比较的方法论策略。此流程无法保证一定能得出真理，更不用说可以立即执行的政策。实用主义者自己也曾为社群因为错误的信念做出决定而挣扎，以及如何在我们对它的认知之外考量真理，并且他们对这个问题的回应并不清晰</w:t>
      </w:r>
      <w:r>
        <w:t>——</w:t>
      </w:r>
      <w:r>
        <w:t>比如想象真理是一种理想社群，通过无休止的辩论，最终能够达到的那个结果。</w:t>
      </w:r>
      <w:r>
        <w:rPr>
          <w:rStyle w:val="FootnoteReference"/>
        </w:rPr>
        <w:footnoteReference w:id="68"/>
      </w:r>
      <w:r>
        <w:t xml:space="preserve"> </w:t>
      </w:r>
      <w:r>
        <w:t>但最简单的回应是，虽然可能存在独立于任何社群信念之</w:t>
      </w:r>
      <w:r>
        <w:lastRenderedPageBreak/>
        <w:t>外的真理，我们实际上无法确定自己是否已经认识到这个真理。因此，保持一种开放的异议空间（</w:t>
      </w:r>
      <w:r>
        <w:t>keep open a space for dissent</w:t>
      </w:r>
      <w:r>
        <w:t>）</w:t>
      </w:r>
      <w:r>
        <w:t>——</w:t>
      </w:r>
      <w:r>
        <w:t>实际上「有意识地引入反对观点」是从怀疑论传统中获得的重要教训。这也可能是唯一向前的通路，因为最终，鉴于无法脱离责任，我们只能通过运用理性来寻找目前看起来最佳的行动方案。在意识到我们可能最终会被证明是错误的情况下，我们必须继续前进，因为不采取行动也可能被证明是错误的。</w:t>
      </w:r>
    </w:p>
    <w:p w14:paraId="66C386FA" w14:textId="77777777" w:rsidR="003C3D27" w:rsidRDefault="00000000">
      <w:pPr>
        <w:pStyle w:val="Heading2"/>
      </w:pPr>
      <w:bookmarkStart w:id="6" w:name="结论"/>
      <w:bookmarkEnd w:id="5"/>
      <w:r>
        <w:t>结论</w:t>
      </w:r>
    </w:p>
    <w:p w14:paraId="761E0241" w14:textId="77777777" w:rsidR="003C3D27" w:rsidRDefault="00000000">
      <w:r>
        <w:t>将实用主义视为解决问题的方法为社会理论中的一些近期困境，比如当我们陷入决策的需要与无法绝对确定决定之间的僵局时，提供了一种解决途径。实用主义的解决方案（特别是在皮尔士和杜威的工作中）强调了知识生产中自我修正的探究社群的角色，以及与现实世界问题作斗争时这样社群的角色，他们是自我修正的源泉。问题解决方法甚至有望带来更优的理性派社会理解，因为它强迫我们面对不同理论之间的辨析。</w:t>
      </w:r>
    </w:p>
    <w:p w14:paraId="784964DB" w14:textId="77777777" w:rsidR="003C3D27" w:rsidRDefault="00000000">
      <w:r>
        <w:t>运用实用主义原则作为解决问题的工具将对三大传统领域带来实际的影响，并推动它们朝着各自不同的方向发展：相较于关注问题的影响，更多地关注问题的致因，因此更倾向于对肇事者和因果环节进行研究而不是受害者，这对于解放传统特别重要；研究变革和因果而非仅仅提供描述和谱系，这对怀疑传统尤为相关；力图明确解决社会问题而非只是通过不同理论视角解读形势，作为给理性传统带来纪律和融贯性的方法。</w:t>
      </w:r>
    </w:p>
    <w:p w14:paraId="32AF1F78" w14:textId="77777777" w:rsidR="003C3D27" w:rsidRDefault="00000000">
      <w:r>
        <w:t>因此，对于理性主义传统来说，其目标在于理解社会，将实用主义定义为解决问题的方法，为它带来了方向性和连贯性，这可能有利于解除所谓的「不融贯问题」，并可能有助于深化对社会的理解。对于追求改善社会的解放传统，将实用主义作为解决问题的视角为确定何为解放提供了基础</w:t>
      </w:r>
      <w:r>
        <w:t>——</w:t>
      </w:r>
      <w:r>
        <w:t>真实存在的、自我修正的社区的讨论。至于怀疑主义传统的主要弱点</w:t>
      </w:r>
      <w:r>
        <w:t>——</w:t>
      </w:r>
      <w:r>
        <w:t>即无法解释自身的道德承诺，实用主义作为解决问题的理念贡献了可行性的错误性，而非怀疑性。</w:t>
      </w:r>
    </w:p>
    <w:p w14:paraId="03570674" w14:textId="77777777" w:rsidR="003C3D27" w:rsidRDefault="00000000">
      <w:r>
        <w:t>实用主义作为解决问题的方式同样借鉴了每种传统的优点：与怀疑传统共持有对人类达成最终结论的怀疑，需要保持谦逊和对被证明是错误的开放性；与解放传统共有持续改善社会的兴趣，并认识到面对社会问题需要达成暂时的一致以采取行动；与理性主义传统共享对基于理性和科学标准评判理念的学术研究社区的信任，因为这个社区允许我们实现暂时的共识，而这些理性的标准则体现了我们学习并认识到我们可能是错误这一可能性。</w:t>
      </w:r>
    </w:p>
    <w:p w14:paraId="3C9F4B09" w14:textId="77777777" w:rsidR="003C3D27" w:rsidRDefault="00000000">
      <w:r>
        <w:t>因此，所有致力于实用主义问题解决的学术工作同样同时具备怀疑主义、解放主义和理性主义的特性。问题解决无疑属于解放社会学的一个分支，但同样也是理性社会学和怀疑社会学的分支，尤其在持续强化研究者对自身局限和错误的</w:t>
      </w:r>
      <w:r>
        <w:lastRenderedPageBreak/>
        <w:t>认识方面。</w:t>
      </w:r>
    </w:p>
    <w:p w14:paraId="460E6944" w14:textId="77777777" w:rsidR="003C3D27" w:rsidRDefault="00000000">
      <w:r>
        <w:t>然而，并非所有怀疑、解放或理性的学术研究都符合实用主义的问题解决范畴。某些理性主义、解放主义和怀疑主义学者的研究可能属于实用主义问题解决的范畴</w:t>
      </w:r>
      <w:r>
        <w:t>——</w:t>
      </w:r>
      <w:r>
        <w:t>特别是那些迫使各自传统面对自我局限的人，如简</w:t>
      </w:r>
      <w:r>
        <w:t>·</w:t>
      </w:r>
      <w:r>
        <w:t>曼斯布里奇或邓肯</w:t>
      </w:r>
      <w:r>
        <w:t>·</w:t>
      </w:r>
      <w:r>
        <w:t>沃茨。不过，并非所有这三个传统中的学者都采用实用主义来解决问题：解放和怀疑主义学者并不总是坚持基于科学理据的讨论；怀疑主义和理性主义学者并不总是以解放作为目标；理性主义和解放主义学者经常不深入讨论就排斥怀疑主义的研究。因此，实用主义的问题解决并不能简单地归结为上述三个传统中的任何一个。它要求将三个传统混合融合。将实用主义仅作为一面更好的镜子来反思是不够的，实用主义作为问题解决的方法值得社会学家更为深入的关注。</w:t>
      </w:r>
      <w:bookmarkEnd w:id="0"/>
      <w:bookmarkEnd w:id="6"/>
    </w:p>
    <w:sectPr w:rsidR="003C3D27" w:rsidSect="00E565B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6773E" w14:textId="77777777" w:rsidR="00602A8F" w:rsidRDefault="00602A8F">
      <w:pPr>
        <w:spacing w:after="0"/>
      </w:pPr>
      <w:r>
        <w:separator/>
      </w:r>
    </w:p>
  </w:endnote>
  <w:endnote w:type="continuationSeparator" w:id="0">
    <w:p w14:paraId="2DB473FE" w14:textId="77777777" w:rsidR="00602A8F" w:rsidRDefault="00602A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F46A" w14:textId="77777777" w:rsidR="00602A8F" w:rsidRDefault="00602A8F">
      <w:r>
        <w:separator/>
      </w:r>
    </w:p>
  </w:footnote>
  <w:footnote w:type="continuationSeparator" w:id="0">
    <w:p w14:paraId="10803DFA" w14:textId="77777777" w:rsidR="00602A8F" w:rsidRDefault="00602A8F">
      <w:r>
        <w:continuationSeparator/>
      </w:r>
    </w:p>
  </w:footnote>
  <w:footnote w:id="1">
    <w:p w14:paraId="6A852ADA" w14:textId="77777777" w:rsidR="003C3D27" w:rsidRDefault="00000000">
      <w:pPr>
        <w:pStyle w:val="FootnoteText"/>
      </w:pPr>
      <w:r>
        <w:rPr>
          <w:rStyle w:val="FootnoteReference"/>
        </w:rPr>
        <w:footnoteRef/>
      </w:r>
      <w:r>
        <w:t xml:space="preserve"> Arthur L. Stinchcombe, “Making a Living in Sociology in the 21st Century (and the Intellectual Consequences of Making a Living),” </w:t>
      </w:r>
      <w:r>
        <w:rPr>
          <w:i/>
          <w:iCs/>
        </w:rPr>
        <w:t>Berkeley Journal of Sociology</w:t>
      </w:r>
      <w:r>
        <w:t xml:space="preserve"> 44 (1999): 4–14; Arthur L. Stinchcombe, “Reviews and Two Markets for Sociology Books,” </w:t>
      </w:r>
      <w:r>
        <w:rPr>
          <w:i/>
          <w:iCs/>
        </w:rPr>
        <w:t>Contemporary Sociology</w:t>
      </w:r>
      <w:r>
        <w:t xml:space="preserve"> 30, no. 1 (2001): 6–8.</w:t>
      </w:r>
    </w:p>
  </w:footnote>
  <w:footnote w:id="2">
    <w:p w14:paraId="11C9DA5F" w14:textId="77777777" w:rsidR="003C3D27" w:rsidRDefault="00000000">
      <w:pPr>
        <w:pStyle w:val="FootnoteText"/>
      </w:pPr>
      <w:r>
        <w:rPr>
          <w:rStyle w:val="FootnoteReference"/>
        </w:rPr>
        <w:footnoteRef/>
      </w:r>
      <w:r>
        <w:t xml:space="preserve"> Jessie Daniels, “WEB Du Bois for the Twenty‐First Century: On Being a Scholar‐Activist in the Digital Era,” </w:t>
      </w:r>
      <w:r>
        <w:rPr>
          <w:i/>
          <w:iCs/>
        </w:rPr>
        <w:t>Sociological Forum</w:t>
      </w:r>
      <w:r>
        <w:t xml:space="preserve"> 33, no. 4 (2018): 1072–85; Diditi Mitra, “Pedagogy and Activism— Do the Two Mix? A Dialogue on Social Justice and Its Place in The Classroom,” </w:t>
      </w:r>
      <w:r>
        <w:rPr>
          <w:i/>
          <w:iCs/>
        </w:rPr>
        <w:t>Sociological Forum</w:t>
      </w:r>
      <w:r>
        <w:t xml:space="preserve"> 35, no. 4 (2020): 1346–53.</w:t>
      </w:r>
    </w:p>
  </w:footnote>
  <w:footnote w:id="3">
    <w:p w14:paraId="07CB2B95" w14:textId="77777777" w:rsidR="003C3D27" w:rsidRDefault="00000000">
      <w:pPr>
        <w:pStyle w:val="FootnoteText"/>
      </w:pPr>
      <w:r>
        <w:rPr>
          <w:rStyle w:val="FootnoteReference"/>
        </w:rPr>
        <w:footnoteRef/>
      </w:r>
      <w:r>
        <w:t xml:space="preserve"> Douglas Massey, “The Strength of Weak Politics,” Pp. 145–57 in </w:t>
      </w:r>
      <w:r>
        <w:rPr>
          <w:i/>
          <w:iCs/>
        </w:rPr>
        <w:t>Public Sociology: Fifteen Eminent Sociologists Debate Politics and the Profession in the Twenty-First Century</w:t>
      </w:r>
      <w:r>
        <w:t xml:space="preserve">, Clawson, Dan, Michael Burawoy, Robert Zussman, Joya Misra, Naomi Gerstel, Randall Stokes, and Douglas L. Anderton, eds. (Berkeley and Los Angeles: University of California Press, 2007); Jonathan H. Turner, “The More American Sociology Seeks to Become a Politically-Relevant Discipline, the More Irrelevant It Becomes to Solving Societal Problems,” </w:t>
      </w:r>
      <w:r>
        <w:rPr>
          <w:i/>
          <w:iCs/>
        </w:rPr>
        <w:t>American Sociologist</w:t>
      </w:r>
      <w:r>
        <w:t xml:space="preserve"> 50, no. 4 (2019): 456–87.</w:t>
      </w:r>
    </w:p>
  </w:footnote>
  <w:footnote w:id="4">
    <w:p w14:paraId="1853A808" w14:textId="77777777" w:rsidR="003C3D27" w:rsidRDefault="00000000">
      <w:pPr>
        <w:pStyle w:val="FootnoteText"/>
      </w:pPr>
      <w:r>
        <w:rPr>
          <w:rStyle w:val="FootnoteReference"/>
        </w:rPr>
        <w:footnoteRef/>
      </w:r>
      <w:r>
        <w:t xml:space="preserve"> Mary Romero, “Sociology Engaged in Social Justice,” </w:t>
      </w:r>
      <w:r>
        <w:rPr>
          <w:i/>
          <w:iCs/>
        </w:rPr>
        <w:t>American Sociological Review</w:t>
      </w:r>
      <w:r>
        <w:t xml:space="preserve"> 85, no. 1 (2020): 1–0.</w:t>
      </w:r>
    </w:p>
  </w:footnote>
  <w:footnote w:id="5">
    <w:p w14:paraId="5C61F786" w14:textId="77777777" w:rsidR="003C3D27" w:rsidRDefault="00000000">
      <w:pPr>
        <w:pStyle w:val="FootnoteText"/>
      </w:pPr>
      <w:r>
        <w:rPr>
          <w:rStyle w:val="FootnoteReference"/>
        </w:rPr>
        <w:footnoteRef/>
      </w:r>
      <w:r>
        <w:t xml:space="preserve"> Alan Wolfe, “Sociology as a Vocation,” </w:t>
      </w:r>
      <w:r>
        <w:rPr>
          <w:i/>
          <w:iCs/>
        </w:rPr>
        <w:t>American Sociologist</w:t>
      </w:r>
      <w:r>
        <w:t xml:space="preserve"> 21, no. 2 (1990): 136–49.</w:t>
      </w:r>
    </w:p>
  </w:footnote>
  <w:footnote w:id="6">
    <w:p w14:paraId="3561A77F" w14:textId="77777777" w:rsidR="003C3D27" w:rsidRDefault="00000000">
      <w:pPr>
        <w:pStyle w:val="FootnoteText"/>
      </w:pPr>
      <w:r>
        <w:rPr>
          <w:rStyle w:val="FootnoteReference"/>
        </w:rPr>
        <w:footnoteRef/>
      </w:r>
      <w:r>
        <w:t xml:space="preserve"> Steven Lukes, </w:t>
      </w:r>
      <w:r>
        <w:rPr>
          <w:i/>
          <w:iCs/>
        </w:rPr>
        <w:t>Power: A Radical View</w:t>
      </w:r>
      <w:r>
        <w:t xml:space="preserve"> (London: Macmillan International Higher Education, 2004), 98; see also Arpad Szakolczai, “Review Essay Reappraising Foucault,” </w:t>
      </w:r>
      <w:r>
        <w:rPr>
          <w:i/>
          <w:iCs/>
        </w:rPr>
        <w:t>American Journal of Sociology</w:t>
      </w:r>
      <w:r>
        <w:t xml:space="preserve"> 103, no. 5 (1998): 1402–10; Michael Power, “Foucault and Sociology,” </w:t>
      </w:r>
      <w:r>
        <w:rPr>
          <w:i/>
          <w:iCs/>
        </w:rPr>
        <w:t>Annual Review of Sociology</w:t>
      </w:r>
      <w:r>
        <w:t xml:space="preserve"> 37 (2011): 35–56.</w:t>
      </w:r>
    </w:p>
  </w:footnote>
  <w:footnote w:id="7">
    <w:p w14:paraId="7E63887A" w14:textId="77777777" w:rsidR="003C3D27" w:rsidRDefault="00000000">
      <w:pPr>
        <w:pStyle w:val="FootnoteText"/>
      </w:pPr>
      <w:r>
        <w:rPr>
          <w:rStyle w:val="FootnoteReference"/>
        </w:rPr>
        <w:footnoteRef/>
      </w:r>
      <w:r>
        <w:t xml:space="preserve"> James C. Scott, </w:t>
      </w:r>
      <w:r>
        <w:rPr>
          <w:i/>
          <w:iCs/>
        </w:rPr>
        <w:t>Seeing Like a State: How Certain Schemes to Improve the Human Condition Have Failed</w:t>
      </w:r>
      <w:r>
        <w:t xml:space="preserve"> (New Haven: Yale University Press, 1998).</w:t>
      </w:r>
    </w:p>
  </w:footnote>
  <w:footnote w:id="8">
    <w:p w14:paraId="4B77AC40" w14:textId="77777777" w:rsidR="003C3D27" w:rsidRDefault="00000000">
      <w:pPr>
        <w:pStyle w:val="FootnoteText"/>
      </w:pPr>
      <w:r>
        <w:rPr>
          <w:rStyle w:val="FootnoteReference"/>
        </w:rPr>
        <w:footnoteRef/>
      </w:r>
      <w:r>
        <w:t xml:space="preserve"> Malcolm Spector and John Kitsuse, </w:t>
      </w:r>
      <w:r>
        <w:rPr>
          <w:i/>
          <w:iCs/>
        </w:rPr>
        <w:t>Constructing Social Problems</w:t>
      </w:r>
      <w:r>
        <w:t xml:space="preserve"> (Menlo Park, CA: Cummings, 1977). </w:t>
      </w:r>
      <w:r>
        <w:t>也有人可能会认为，社会学是美的源泉，不过这种观点在当今并未收到太多明确的认可。</w:t>
      </w:r>
    </w:p>
  </w:footnote>
  <w:footnote w:id="9">
    <w:p w14:paraId="4917FDDF" w14:textId="77777777" w:rsidR="003C3D27" w:rsidRDefault="00000000">
      <w:pPr>
        <w:pStyle w:val="FootnoteText"/>
      </w:pPr>
      <w:r>
        <w:rPr>
          <w:rStyle w:val="FootnoteReference"/>
        </w:rPr>
        <w:footnoteRef/>
      </w:r>
      <w:r>
        <w:t xml:space="preserve"> Jürgen Habermas, </w:t>
      </w:r>
      <w:r>
        <w:rPr>
          <w:i/>
          <w:iCs/>
        </w:rPr>
        <w:t>The Theory of Communicative Action: Volume 1: Reason and the Rationalization of Society</w:t>
      </w:r>
      <w:r>
        <w:t xml:space="preserve"> (Boston: Beacon Press, 1984).</w:t>
      </w:r>
    </w:p>
  </w:footnote>
  <w:footnote w:id="10">
    <w:p w14:paraId="3873400F" w14:textId="77777777" w:rsidR="003C3D27" w:rsidRDefault="00000000">
      <w:pPr>
        <w:pStyle w:val="FootnoteText"/>
      </w:pPr>
      <w:r>
        <w:rPr>
          <w:rStyle w:val="FootnoteReference"/>
        </w:rPr>
        <w:footnoteRef/>
      </w:r>
      <w:r>
        <w:t xml:space="preserve"> David M. Farrell and Jane Suiter, </w:t>
      </w:r>
      <w:r>
        <w:rPr>
          <w:i/>
          <w:iCs/>
        </w:rPr>
        <w:t>Reimagining Democracy: Lessons in Deliberative Democracy from the Irish Front Line</w:t>
      </w:r>
      <w:r>
        <w:t xml:space="preserve"> (Ithaca: Cornell Selects, 2019); Simone Chambers, “Democracy in the Open,” </w:t>
      </w:r>
      <w:r>
        <w:rPr>
          <w:i/>
          <w:iCs/>
        </w:rPr>
        <w:t>Good Society</w:t>
      </w:r>
      <w:r>
        <w:t xml:space="preserve"> 27, no. 1–2 (2019): 146–54. </w:t>
      </w:r>
      <w:r>
        <w:t>关于协商式民主的经验证据，参见</w:t>
      </w:r>
      <w:r>
        <w:t xml:space="preserve"> Erik Schneiderhan and Shamus Khan, “Reasons and Inclusion: The Foundation of Deliberation,” </w:t>
      </w:r>
      <w:r>
        <w:rPr>
          <w:i/>
          <w:iCs/>
        </w:rPr>
        <w:t>Sociological Theory</w:t>
      </w:r>
      <w:r>
        <w:t xml:space="preserve"> 26, no. 1 (2008): 1–24</w:t>
      </w:r>
      <w:r>
        <w:t>。</w:t>
      </w:r>
    </w:p>
  </w:footnote>
  <w:footnote w:id="11">
    <w:p w14:paraId="386D5671" w14:textId="77777777" w:rsidR="003C3D27" w:rsidRDefault="00000000">
      <w:pPr>
        <w:pStyle w:val="FootnoteText"/>
      </w:pPr>
      <w:r>
        <w:rPr>
          <w:rStyle w:val="FootnoteReference"/>
        </w:rPr>
        <w:footnoteRef/>
      </w:r>
      <w:r>
        <w:t xml:space="preserve"> Lynn M. Sanders, “Against Deliberation,” </w:t>
      </w:r>
      <w:r>
        <w:rPr>
          <w:i/>
          <w:iCs/>
        </w:rPr>
        <w:t>Political Theory</w:t>
      </w:r>
      <w:r>
        <w:t xml:space="preserve"> 25, no.3 (1997): 347–76; Iris Marion Young, </w:t>
      </w:r>
      <w:r>
        <w:rPr>
          <w:i/>
          <w:iCs/>
        </w:rPr>
        <w:t>Inclusion and Democracy</w:t>
      </w:r>
      <w:r>
        <w:t xml:space="preserve"> (Oxford: Oxford University Press, 2000).</w:t>
      </w:r>
    </w:p>
  </w:footnote>
  <w:footnote w:id="12">
    <w:p w14:paraId="559A0278" w14:textId="77777777" w:rsidR="003C3D27" w:rsidRDefault="00000000">
      <w:pPr>
        <w:pStyle w:val="FootnoteText"/>
      </w:pPr>
      <w:r>
        <w:rPr>
          <w:rStyle w:val="FootnoteReference"/>
        </w:rPr>
        <w:footnoteRef/>
      </w:r>
      <w:r>
        <w:t xml:space="preserve"> Iris Marion Young, </w:t>
      </w:r>
      <w:r>
        <w:rPr>
          <w:i/>
          <w:iCs/>
        </w:rPr>
        <w:t>Inclusion and Democracy</w:t>
      </w:r>
      <w:r>
        <w:t xml:space="preserve"> (Oxford: Oxford University Press, 2000), 34.</w:t>
      </w:r>
    </w:p>
  </w:footnote>
  <w:footnote w:id="13">
    <w:p w14:paraId="105D9222" w14:textId="77777777" w:rsidR="003C3D27" w:rsidRDefault="00000000">
      <w:pPr>
        <w:pStyle w:val="FootnoteText"/>
      </w:pPr>
      <w:r>
        <w:rPr>
          <w:rStyle w:val="FootnoteReference"/>
        </w:rPr>
        <w:footnoteRef/>
      </w:r>
      <w:r>
        <w:t xml:space="preserve"> Richard J. Bernstein, “An Allegory of Modernity/ Postmodernity: Habermas and Derrida,” in </w:t>
      </w:r>
      <w:r>
        <w:rPr>
          <w:i/>
          <w:iCs/>
        </w:rPr>
        <w:t>The Derrida-Habermas Reader</w:t>
      </w:r>
      <w:r>
        <w:t>, ed. Lasse Thomassen, pp. 204–229 (Chicago: University of Chicago Press, 2006 [1992]).</w:t>
      </w:r>
    </w:p>
  </w:footnote>
  <w:footnote w:id="14">
    <w:p w14:paraId="70BBE256" w14:textId="77777777" w:rsidR="003C3D27" w:rsidRDefault="00000000">
      <w:pPr>
        <w:pStyle w:val="FootnoteText"/>
      </w:pPr>
      <w:r>
        <w:rPr>
          <w:rStyle w:val="FootnoteReference"/>
        </w:rPr>
        <w:footnoteRef/>
      </w:r>
      <w:r>
        <w:t xml:space="preserve"> Dmitri N. Shalin, “Critical Theory and the Pragmatist Challenge,” </w:t>
      </w:r>
      <w:r>
        <w:rPr>
          <w:i/>
          <w:iCs/>
        </w:rPr>
        <w:t>American Journal of Sociology</w:t>
      </w:r>
      <w:r>
        <w:t xml:space="preserve"> 98, no. 2 (1992): 237–79.</w:t>
      </w:r>
    </w:p>
  </w:footnote>
  <w:footnote w:id="15">
    <w:p w14:paraId="72E70216" w14:textId="77777777" w:rsidR="003C3D27" w:rsidRDefault="00000000">
      <w:pPr>
        <w:pStyle w:val="FootnoteText"/>
      </w:pPr>
      <w:r>
        <w:rPr>
          <w:rStyle w:val="FootnoteReference"/>
        </w:rPr>
        <w:footnoteRef/>
      </w:r>
      <w:r>
        <w:t xml:space="preserve"> Chantal Mouffe, ed., </w:t>
      </w:r>
      <w:r>
        <w:rPr>
          <w:i/>
          <w:iCs/>
        </w:rPr>
        <w:t>Deconstruction and Pragmatism</w:t>
      </w:r>
      <w:r>
        <w:t xml:space="preserve"> (Routledge, 2003), 9; see also Chantal Mouffe and Paul Holdengräber, “Radical Democracy: Modern or Postmodern?,” </w:t>
      </w:r>
      <w:r>
        <w:rPr>
          <w:i/>
          <w:iCs/>
        </w:rPr>
        <w:t>Social Text</w:t>
      </w:r>
      <w:r>
        <w:t xml:space="preserve"> 21 (1989): 31–45; Chantal Mouffe, </w:t>
      </w:r>
      <w:r>
        <w:rPr>
          <w:i/>
          <w:iCs/>
        </w:rPr>
        <w:t>The Democratic Paradox</w:t>
      </w:r>
      <w:r>
        <w:t xml:space="preserve"> (London: Verso, 2000).</w:t>
      </w:r>
    </w:p>
  </w:footnote>
  <w:footnote w:id="16">
    <w:p w14:paraId="23480825" w14:textId="77777777" w:rsidR="003C3D27" w:rsidRDefault="00000000">
      <w:pPr>
        <w:pStyle w:val="FootnoteText"/>
      </w:pPr>
      <w:r>
        <w:rPr>
          <w:rStyle w:val="FootnoteReference"/>
        </w:rPr>
        <w:footnoteRef/>
      </w:r>
      <w:r>
        <w:t xml:space="preserve"> Chantal Mouffe, </w:t>
      </w:r>
      <w:r>
        <w:rPr>
          <w:i/>
          <w:iCs/>
        </w:rPr>
        <w:t>The Democratic Paradox</w:t>
      </w:r>
      <w:r>
        <w:t xml:space="preserve"> (London: Verso, 2000).</w:t>
      </w:r>
    </w:p>
  </w:footnote>
  <w:footnote w:id="17">
    <w:p w14:paraId="1D6D3A8D" w14:textId="77777777" w:rsidR="003C3D27" w:rsidRDefault="00000000">
      <w:pPr>
        <w:pStyle w:val="FootnoteText"/>
      </w:pPr>
      <w:r>
        <w:rPr>
          <w:rStyle w:val="FootnoteReference"/>
        </w:rPr>
        <w:footnoteRef/>
      </w:r>
      <w:r>
        <w:t xml:space="preserve"> Jacques Derrida, </w:t>
      </w:r>
      <w:r>
        <w:rPr>
          <w:i/>
          <w:iCs/>
        </w:rPr>
        <w:t>Of Grammatology</w:t>
      </w:r>
      <w:r>
        <w:t xml:space="preserve"> (Baltimore: Johns Hopkins University Press, 1976); Jacques Derrida, </w:t>
      </w:r>
      <w:r>
        <w:rPr>
          <w:i/>
          <w:iCs/>
        </w:rPr>
        <w:t>Writing and Difference</w:t>
      </w:r>
      <w:r>
        <w:t xml:space="preserve"> (London: University of Chicago Press, 1978).</w:t>
      </w:r>
    </w:p>
  </w:footnote>
  <w:footnote w:id="18">
    <w:p w14:paraId="026BF52A" w14:textId="77777777" w:rsidR="003C3D27" w:rsidRDefault="00000000">
      <w:pPr>
        <w:pStyle w:val="FootnoteText"/>
      </w:pPr>
      <w:r>
        <w:rPr>
          <w:rStyle w:val="FootnoteReference"/>
        </w:rPr>
        <w:footnoteRef/>
      </w:r>
      <w:r>
        <w:t xml:space="preserve"> Chantal Mouffe, The Democratic Paradox (London: Verso, 2000), 20.</w:t>
      </w:r>
    </w:p>
  </w:footnote>
  <w:footnote w:id="19">
    <w:p w14:paraId="02A8F9BE" w14:textId="77777777" w:rsidR="003C3D27" w:rsidRDefault="00000000">
      <w:pPr>
        <w:pStyle w:val="FootnoteText"/>
      </w:pPr>
      <w:r>
        <w:rPr>
          <w:rStyle w:val="FootnoteReference"/>
        </w:rPr>
        <w:footnoteRef/>
      </w:r>
      <w:r>
        <w:t xml:space="preserve"> Seyla Benhabib, ed., </w:t>
      </w:r>
      <w:r>
        <w:rPr>
          <w:i/>
          <w:iCs/>
        </w:rPr>
        <w:t>Democracy and Difference: Contesting the Boundaries of the Political</w:t>
      </w:r>
      <w:r>
        <w:t xml:space="preserve"> (Princeton: Princeton University Press, 1996).</w:t>
      </w:r>
    </w:p>
  </w:footnote>
  <w:footnote w:id="20">
    <w:p w14:paraId="2781AB52" w14:textId="77777777" w:rsidR="003C3D27" w:rsidRDefault="00000000">
      <w:pPr>
        <w:pStyle w:val="FootnoteText"/>
      </w:pPr>
      <w:r>
        <w:rPr>
          <w:rStyle w:val="FootnoteReference"/>
        </w:rPr>
        <w:footnoteRef/>
      </w:r>
      <w:r>
        <w:t xml:space="preserve"> </w:t>
      </w:r>
      <w:r>
        <w:t>相关的论点参见</w:t>
      </w:r>
      <w:r>
        <w:t xml:space="preserve"> George Vasilev, “On Mouffe’s Agonism: Why It Is Not a Refutation of Consensus,” </w:t>
      </w:r>
      <w:r>
        <w:rPr>
          <w:i/>
          <w:iCs/>
        </w:rPr>
        <w:t>Democratic Theory</w:t>
      </w:r>
      <w:r>
        <w:t xml:space="preserve"> 2, no. 1 (2015): 4–21.</w:t>
      </w:r>
    </w:p>
  </w:footnote>
  <w:footnote w:id="21">
    <w:p w14:paraId="3496233B" w14:textId="77777777" w:rsidR="003C3D27" w:rsidRDefault="00000000">
      <w:pPr>
        <w:pStyle w:val="FootnoteText"/>
      </w:pPr>
      <w:r>
        <w:rPr>
          <w:rStyle w:val="FootnoteReference"/>
        </w:rPr>
        <w:footnoteRef/>
      </w:r>
      <w:r>
        <w:t xml:space="preserve"> Robert J. Antonio, “The Normative Foundations of Emancipatory Theory: Evolutionary versus Pragmatic Perspectives,” </w:t>
      </w:r>
      <w:r>
        <w:rPr>
          <w:i/>
          <w:iCs/>
        </w:rPr>
        <w:t>American Journal of Sociology</w:t>
      </w:r>
      <w:r>
        <w:t xml:space="preserve"> 94, no. 4 (1989): 721–48, 742–43.</w:t>
      </w:r>
    </w:p>
  </w:footnote>
  <w:footnote w:id="22">
    <w:p w14:paraId="7ED25457" w14:textId="77777777" w:rsidR="003C3D27" w:rsidRDefault="00000000">
      <w:pPr>
        <w:pStyle w:val="FootnoteText"/>
      </w:pPr>
      <w:r>
        <w:rPr>
          <w:rStyle w:val="FootnoteReference"/>
        </w:rPr>
        <w:footnoteRef/>
      </w:r>
      <w:r>
        <w:t xml:space="preserve"> J. S. House, “The Culminating Crisis of American Sociology and Its Role in Social Science and Public Policy: An Autobiographical, Multimethod, Reflexive Perspective,” A</w:t>
      </w:r>
      <w:r>
        <w:rPr>
          <w:i/>
          <w:iCs/>
        </w:rPr>
        <w:t>nnual Review of Sociology</w:t>
      </w:r>
      <w:r>
        <w:t xml:space="preserve"> 45 (2019): 1–26, 21–22.</w:t>
      </w:r>
    </w:p>
  </w:footnote>
  <w:footnote w:id="23">
    <w:p w14:paraId="65FA7980" w14:textId="77777777" w:rsidR="003C3D27" w:rsidRDefault="00000000">
      <w:pPr>
        <w:pStyle w:val="FootnoteText"/>
      </w:pPr>
      <w:r>
        <w:rPr>
          <w:rStyle w:val="FootnoteReference"/>
        </w:rPr>
        <w:footnoteRef/>
      </w:r>
      <w:r>
        <w:t xml:space="preserve"> Max Besbris and Shamus Khan, “Less Theory. More Description,” </w:t>
      </w:r>
      <w:r>
        <w:rPr>
          <w:i/>
          <w:iCs/>
        </w:rPr>
        <w:t>Sociological Theory</w:t>
      </w:r>
      <w:r>
        <w:t xml:space="preserve"> 35, no. 2 (2017): 147–53, 147. It’s not clear how their solution—more description—will provide clarity rather than simply proliferating descriptions.</w:t>
      </w:r>
    </w:p>
  </w:footnote>
  <w:footnote w:id="24">
    <w:p w14:paraId="551412EB" w14:textId="77777777" w:rsidR="003C3D27" w:rsidRDefault="00000000">
      <w:pPr>
        <w:pStyle w:val="FootnoteText"/>
      </w:pPr>
      <w:r>
        <w:rPr>
          <w:rStyle w:val="FootnoteReference"/>
        </w:rPr>
        <w:footnoteRef/>
      </w:r>
      <w:r>
        <w:t xml:space="preserve"> Duncan J. Watts, “Should Social Science Be More Solution- Oriented?,” </w:t>
      </w:r>
      <w:r>
        <w:rPr>
          <w:i/>
          <w:iCs/>
        </w:rPr>
        <w:t>Nature Human Behaviour</w:t>
      </w:r>
      <w:r>
        <w:t xml:space="preserve"> 1, no. 1 (2017): 1–5; see also James A. Davis, “What’s Wrong with Sociology?,” </w:t>
      </w:r>
      <w:r>
        <w:rPr>
          <w:i/>
          <w:iCs/>
        </w:rPr>
        <w:t>Sociological Forum</w:t>
      </w:r>
      <w:r>
        <w:t xml:space="preserve"> 9, no. 2 (1994): 179–97.</w:t>
      </w:r>
    </w:p>
  </w:footnote>
  <w:footnote w:id="25">
    <w:p w14:paraId="7E269F07" w14:textId="77777777" w:rsidR="003C3D27" w:rsidRDefault="00000000">
      <w:pPr>
        <w:pStyle w:val="FootnoteText"/>
      </w:pPr>
      <w:r>
        <w:rPr>
          <w:rStyle w:val="FootnoteReference"/>
        </w:rPr>
        <w:footnoteRef/>
      </w:r>
      <w:r>
        <w:t xml:space="preserve"> Gerald F. Davis, “Editorial Essay: What Is Organizational Research For?,” </w:t>
      </w:r>
      <w:r>
        <w:rPr>
          <w:i/>
          <w:iCs/>
        </w:rPr>
        <w:t>Administrative Science Quarterly</w:t>
      </w:r>
      <w:r>
        <w:t xml:space="preserve"> 60, no. 2 (2015): 179–88, 180.</w:t>
      </w:r>
    </w:p>
  </w:footnote>
  <w:footnote w:id="26">
    <w:p w14:paraId="2AAFD1B2" w14:textId="77777777" w:rsidR="003C3D27" w:rsidRDefault="00000000">
      <w:pPr>
        <w:pStyle w:val="FootnoteText"/>
      </w:pPr>
      <w:r>
        <w:rPr>
          <w:rStyle w:val="FootnoteReference"/>
        </w:rPr>
        <w:footnoteRef/>
      </w:r>
      <w:r>
        <w:t xml:space="preserve"> Richard Rorty, </w:t>
      </w:r>
      <w:r>
        <w:rPr>
          <w:i/>
          <w:iCs/>
        </w:rPr>
        <w:t>Philosophy and the Mirror of Nature</w:t>
      </w:r>
      <w:r>
        <w:t xml:space="preserve"> (Princeton: Princeton University Press, 2009 [1979]).</w:t>
      </w:r>
    </w:p>
  </w:footnote>
  <w:footnote w:id="27">
    <w:p w14:paraId="360C60C6" w14:textId="77777777" w:rsidR="003C3D27" w:rsidRDefault="00000000">
      <w:pPr>
        <w:pStyle w:val="FootnoteText"/>
      </w:pPr>
      <w:r>
        <w:rPr>
          <w:rStyle w:val="FootnoteReference"/>
        </w:rPr>
        <w:footnoteRef/>
      </w:r>
      <w:r>
        <w:t xml:space="preserve"> Charles S. Peirce, </w:t>
      </w:r>
      <w:r>
        <w:rPr>
          <w:i/>
          <w:iCs/>
        </w:rPr>
        <w:t>Philosophical Writings of Peirce</w:t>
      </w:r>
      <w:r>
        <w:t xml:space="preserve"> (New York: Dover, 2014 [1868, 1877, 1878]).</w:t>
      </w:r>
    </w:p>
  </w:footnote>
  <w:footnote w:id="28">
    <w:p w14:paraId="13E94DDF" w14:textId="77777777" w:rsidR="003C3D27" w:rsidRDefault="00000000">
      <w:pPr>
        <w:pStyle w:val="FootnoteText"/>
      </w:pPr>
      <w:r>
        <w:rPr>
          <w:rStyle w:val="FootnoteReference"/>
        </w:rPr>
        <w:footnoteRef/>
      </w:r>
      <w:r>
        <w:t xml:space="preserve"> John Dewey, </w:t>
      </w:r>
      <w:r>
        <w:rPr>
          <w:i/>
          <w:iCs/>
        </w:rPr>
        <w:t>The Public and Its Problems: An Essay in Political Inquiry</w:t>
      </w:r>
      <w:r>
        <w:t xml:space="preserve"> (University Park, PA: Penn State Press, 2012 [1927]).</w:t>
      </w:r>
    </w:p>
  </w:footnote>
  <w:footnote w:id="29">
    <w:p w14:paraId="785D117D" w14:textId="77777777" w:rsidR="003C3D27" w:rsidRDefault="00000000">
      <w:pPr>
        <w:pStyle w:val="FootnoteText"/>
      </w:pPr>
      <w:r>
        <w:rPr>
          <w:rStyle w:val="FootnoteReference"/>
        </w:rPr>
        <w:footnoteRef/>
      </w:r>
      <w:r>
        <w:t xml:space="preserve"> Charles S. Peirce, </w:t>
      </w:r>
      <w:r>
        <w:rPr>
          <w:i/>
          <w:iCs/>
        </w:rPr>
        <w:t>Philosophical Writings of Peirce</w:t>
      </w:r>
      <w:r>
        <w:t xml:space="preserve"> (New York: Dover, 2014 [1868, 1877, 1878]).</w:t>
      </w:r>
    </w:p>
  </w:footnote>
  <w:footnote w:id="30">
    <w:p w14:paraId="2574F26E" w14:textId="77777777" w:rsidR="003C3D27" w:rsidRDefault="00000000">
      <w:pPr>
        <w:pStyle w:val="FootnoteText"/>
      </w:pPr>
      <w:r>
        <w:rPr>
          <w:rStyle w:val="FootnoteReference"/>
        </w:rPr>
        <w:footnoteRef/>
      </w:r>
      <w:r>
        <w:t xml:space="preserve"> Eric A. MacGilvray, “Five Myths about Pragmatism, or, Against a Second Pragmatic Acquiescence,” </w:t>
      </w:r>
      <w:r>
        <w:rPr>
          <w:i/>
          <w:iCs/>
        </w:rPr>
        <w:t>Political Theory</w:t>
      </w:r>
      <w:r>
        <w:t xml:space="preserve"> 28, no. 4 (2000): 480–508, 501; Eugene Halton, “Habermas and Rorty: Between Scylla and Charybdis,” </w:t>
      </w:r>
      <w:r>
        <w:rPr>
          <w:i/>
          <w:iCs/>
        </w:rPr>
        <w:t>Symbolic Interaction</w:t>
      </w:r>
      <w:r>
        <w:t xml:space="preserve"> 15, no. 3 (1992): 333–58.</w:t>
      </w:r>
    </w:p>
  </w:footnote>
  <w:footnote w:id="31">
    <w:p w14:paraId="12852FEB" w14:textId="77777777" w:rsidR="003C3D27" w:rsidRDefault="00000000">
      <w:pPr>
        <w:pStyle w:val="FootnoteText"/>
      </w:pPr>
      <w:r>
        <w:rPr>
          <w:rStyle w:val="FootnoteReference"/>
        </w:rPr>
        <w:footnoteRef/>
      </w:r>
      <w:r>
        <w:t xml:space="preserve"> John Dewey, </w:t>
      </w:r>
      <w:r>
        <w:rPr>
          <w:i/>
          <w:iCs/>
        </w:rPr>
        <w:t>The Public and Its Problems: An Essay in Political Inquiry</w:t>
      </w:r>
      <w:r>
        <w:t xml:space="preserve"> (University Park, PA: Penn State Press, 2012 [1927]).</w:t>
      </w:r>
    </w:p>
  </w:footnote>
  <w:footnote w:id="32">
    <w:p w14:paraId="1A8C0890" w14:textId="77777777" w:rsidR="003C3D27" w:rsidRDefault="00000000">
      <w:pPr>
        <w:pStyle w:val="FootnoteText"/>
      </w:pPr>
      <w:r>
        <w:rPr>
          <w:rStyle w:val="FootnoteReference"/>
        </w:rPr>
        <w:footnoteRef/>
      </w:r>
      <w:r>
        <w:t xml:space="preserve"> Duncan J. Watts, “Should Social Science Be More Solution-Oriented?,” </w:t>
      </w:r>
      <w:r>
        <w:rPr>
          <w:i/>
          <w:iCs/>
        </w:rPr>
        <w:t>Nature Human Behaviour</w:t>
      </w:r>
      <w:r>
        <w:t xml:space="preserve"> 1, no. 1 (2017): 1–5, 3.</w:t>
      </w:r>
    </w:p>
  </w:footnote>
  <w:footnote w:id="33">
    <w:p w14:paraId="09314D04" w14:textId="77777777" w:rsidR="003C3D27" w:rsidRDefault="00000000">
      <w:pPr>
        <w:pStyle w:val="FootnoteText"/>
      </w:pPr>
      <w:r>
        <w:rPr>
          <w:rStyle w:val="FootnoteReference"/>
        </w:rPr>
        <w:footnoteRef/>
      </w:r>
      <w:r>
        <w:t xml:space="preserve"> Michael Burawoy, “Two Methods in Search of Science,” </w:t>
      </w:r>
      <w:r>
        <w:rPr>
          <w:i/>
          <w:iCs/>
        </w:rPr>
        <w:t>Theory and Society</w:t>
      </w:r>
      <w:r>
        <w:t xml:space="preserve"> 18, no. 6 (1989): 759–805.</w:t>
      </w:r>
    </w:p>
  </w:footnote>
  <w:footnote w:id="34">
    <w:p w14:paraId="4364379E" w14:textId="77777777" w:rsidR="003C3D27" w:rsidRDefault="00000000">
      <w:pPr>
        <w:pStyle w:val="FootnoteText"/>
      </w:pPr>
      <w:r>
        <w:rPr>
          <w:rStyle w:val="FootnoteReference"/>
        </w:rPr>
        <w:footnoteRef/>
      </w:r>
      <w:r>
        <w:t xml:space="preserve"> Roy Bhaskar, </w:t>
      </w:r>
      <w:r>
        <w:rPr>
          <w:i/>
          <w:iCs/>
        </w:rPr>
        <w:t>A Realist Theory of Science</w:t>
      </w:r>
      <w:r>
        <w:t xml:space="preserve"> (Routledge, 2008 [1975]); R. Andrew Sayer, </w:t>
      </w:r>
      <w:r>
        <w:rPr>
          <w:i/>
          <w:iCs/>
        </w:rPr>
        <w:t>Method in Social Science: A Realist Approach</w:t>
      </w:r>
      <w:r>
        <w:t xml:space="preserve"> (London and New York: Routledge, 1992 [1984]).</w:t>
      </w:r>
    </w:p>
  </w:footnote>
  <w:footnote w:id="35">
    <w:p w14:paraId="76B685D5" w14:textId="77777777" w:rsidR="003C3D27" w:rsidRDefault="00000000">
      <w:pPr>
        <w:pStyle w:val="FootnoteText"/>
      </w:pPr>
      <w:r>
        <w:rPr>
          <w:rStyle w:val="FootnoteReference"/>
        </w:rPr>
        <w:footnoteRef/>
      </w:r>
      <w:r>
        <w:t xml:space="preserve"> </w:t>
      </w:r>
      <w:r>
        <w:t>批判实在论对于这个问题无法充分回答的一个例子，可参见</w:t>
      </w:r>
      <w:r>
        <w:t xml:space="preserve">Isaac Reed, “Justifying Sociological Knowledge: From Realism to Interpretation,” </w:t>
      </w:r>
      <w:r>
        <w:rPr>
          <w:i/>
          <w:iCs/>
        </w:rPr>
        <w:t>Sociological Theory</w:t>
      </w:r>
      <w:r>
        <w:t xml:space="preserve"> 26, no. 2 (2008): 101–29.</w:t>
      </w:r>
    </w:p>
  </w:footnote>
  <w:footnote w:id="36">
    <w:p w14:paraId="533929A0" w14:textId="77777777" w:rsidR="003C3D27" w:rsidRDefault="00000000">
      <w:pPr>
        <w:pStyle w:val="FootnoteText"/>
      </w:pPr>
      <w:r>
        <w:rPr>
          <w:rStyle w:val="FootnoteReference"/>
        </w:rPr>
        <w:footnoteRef/>
      </w:r>
      <w:r>
        <w:t xml:space="preserve"> Dmitri N. Shalin, “Critical Theory and the Pragmatist Challenge,” </w:t>
      </w:r>
      <w:r>
        <w:rPr>
          <w:i/>
          <w:iCs/>
        </w:rPr>
        <w:t>American Journal of Sociology</w:t>
      </w:r>
      <w:r>
        <w:t xml:space="preserve"> 98, no. 2 (1992): 237–79, 273–74.</w:t>
      </w:r>
    </w:p>
  </w:footnote>
  <w:footnote w:id="37">
    <w:p w14:paraId="52FEB2AB" w14:textId="77777777" w:rsidR="003C3D27" w:rsidRDefault="00000000">
      <w:pPr>
        <w:pStyle w:val="FootnoteText"/>
      </w:pPr>
      <w:r>
        <w:rPr>
          <w:rStyle w:val="FootnoteReference"/>
        </w:rPr>
        <w:footnoteRef/>
      </w:r>
      <w:r>
        <w:t xml:space="preserve"> Jane Mansbridge, James Bohman, Simone Chambers, Thomas Christiano, Archon Fung, John Parkinson, Dennis F. Thompson, and Mark E. Warren, “A Systemic Approach to Deliberative Democracy,” pp. 1–26 in </w:t>
      </w:r>
      <w:r>
        <w:rPr>
          <w:i/>
          <w:iCs/>
        </w:rPr>
        <w:t>Deliberative Systems: Deliberative Democracy at the Large Scale</w:t>
      </w:r>
      <w:r>
        <w:t xml:space="preserve">, John Parkinson and Jane Mansbridge, eds. (2012); J. Parkinson and J. Mansbridge, eds., </w:t>
      </w:r>
      <w:r>
        <w:rPr>
          <w:i/>
          <w:iCs/>
        </w:rPr>
        <w:t>Deliberative Systems: Deliberative Democracy at the Large Scale</w:t>
      </w:r>
      <w:r>
        <w:t xml:space="preserve"> (Cambridge: Cambridge University Press, 2012).</w:t>
      </w:r>
    </w:p>
  </w:footnote>
  <w:footnote w:id="38">
    <w:p w14:paraId="10193845" w14:textId="77777777" w:rsidR="003C3D27" w:rsidRDefault="00000000">
      <w:pPr>
        <w:pStyle w:val="FootnoteText"/>
      </w:pPr>
      <w:r>
        <w:rPr>
          <w:rStyle w:val="FootnoteReference"/>
        </w:rPr>
        <w:footnoteRef/>
      </w:r>
      <w:r>
        <w:t xml:space="preserve"> John Parkinson, “Pettit on Deliberative Democracy, and Vice Versa,” </w:t>
      </w:r>
      <w:r>
        <w:rPr>
          <w:i/>
          <w:iCs/>
        </w:rPr>
        <w:t>Philosophy and Public Issues</w:t>
      </w:r>
      <w:r>
        <w:t xml:space="preserve"> 5, no. 2 (2015): 59–77, 63–64.</w:t>
      </w:r>
    </w:p>
  </w:footnote>
  <w:footnote w:id="39">
    <w:p w14:paraId="329062FE" w14:textId="77777777" w:rsidR="003C3D27" w:rsidRDefault="00000000">
      <w:pPr>
        <w:pStyle w:val="FootnoteText"/>
      </w:pPr>
      <w:r>
        <w:rPr>
          <w:rStyle w:val="FootnoteReference"/>
        </w:rPr>
        <w:footnoteRef/>
      </w:r>
      <w:r>
        <w:t xml:space="preserve"> Charles S. Peirce, </w:t>
      </w:r>
      <w:r>
        <w:rPr>
          <w:i/>
          <w:iCs/>
        </w:rPr>
        <w:t>Philosophical Writings of Peirce</w:t>
      </w:r>
      <w:r>
        <w:t xml:space="preserve"> (New York: Dover, 2014 [1878]), 38.</w:t>
      </w:r>
    </w:p>
  </w:footnote>
  <w:footnote w:id="40">
    <w:p w14:paraId="68327F64" w14:textId="77777777" w:rsidR="003C3D27" w:rsidRDefault="00000000">
      <w:pPr>
        <w:pStyle w:val="FootnoteText"/>
      </w:pPr>
      <w:r>
        <w:rPr>
          <w:rStyle w:val="FootnoteReference"/>
        </w:rPr>
        <w:footnoteRef/>
      </w:r>
      <w:r>
        <w:t xml:space="preserve"> Chantal Mouffe and Paul Holdengräber, “Radical Democracy: Modern or Postmodern?,” </w:t>
      </w:r>
      <w:r>
        <w:rPr>
          <w:i/>
          <w:iCs/>
        </w:rPr>
        <w:t>Social Text</w:t>
      </w:r>
      <w:r>
        <w:t xml:space="preserve"> 21 (1989): 31–45, 37.</w:t>
      </w:r>
    </w:p>
  </w:footnote>
  <w:footnote w:id="41">
    <w:p w14:paraId="744E065A" w14:textId="77777777" w:rsidR="003C3D27" w:rsidRDefault="00000000">
      <w:pPr>
        <w:pStyle w:val="FootnoteText"/>
      </w:pPr>
      <w:r>
        <w:rPr>
          <w:rStyle w:val="FootnoteReference"/>
        </w:rPr>
        <w:footnoteRef/>
      </w:r>
      <w:r>
        <w:t xml:space="preserve"> See, e.g., Steven Seidman, “Postmodern Anxiety: The Politics of Epistemology,” </w:t>
      </w:r>
      <w:r>
        <w:rPr>
          <w:i/>
          <w:iCs/>
        </w:rPr>
        <w:t>Sociological Theory</w:t>
      </w:r>
      <w:r>
        <w:t xml:space="preserve"> 9, no. 2 (1991): 180–90, 189.</w:t>
      </w:r>
    </w:p>
  </w:footnote>
  <w:footnote w:id="42">
    <w:p w14:paraId="7056A187" w14:textId="77777777" w:rsidR="003C3D27" w:rsidRDefault="00000000">
      <w:pPr>
        <w:pStyle w:val="FootnoteText"/>
      </w:pPr>
      <w:r>
        <w:rPr>
          <w:rStyle w:val="FootnoteReference"/>
        </w:rPr>
        <w:footnoteRef/>
      </w:r>
      <w:r>
        <w:t xml:space="preserve"> Chantal Mouffe, ed., </w:t>
      </w:r>
      <w:r>
        <w:rPr>
          <w:i/>
          <w:iCs/>
        </w:rPr>
        <w:t>Deconstruction and Pragmatism</w:t>
      </w:r>
      <w:r>
        <w:t xml:space="preserve"> (Routledge, 2003), 11</w:t>
      </w:r>
      <w:r>
        <w:t>；另见</w:t>
      </w:r>
      <w:r>
        <w:t xml:space="preserve"> Clayton Chin, </w:t>
      </w:r>
      <w:r>
        <w:rPr>
          <w:i/>
          <w:iCs/>
        </w:rPr>
        <w:t>The Practice of Political Theory: Rorty and Continental Thought</w:t>
      </w:r>
      <w:r>
        <w:t>, 202–46 (New York and Chichester, West Sussex, UK: Columbia University Press, 2018).</w:t>
      </w:r>
    </w:p>
  </w:footnote>
  <w:footnote w:id="43">
    <w:p w14:paraId="467FBB8B" w14:textId="77777777" w:rsidR="003C3D27" w:rsidRDefault="00000000">
      <w:pPr>
        <w:pStyle w:val="FootnoteText"/>
      </w:pPr>
      <w:r>
        <w:rPr>
          <w:rStyle w:val="FootnoteReference"/>
        </w:rPr>
        <w:footnoteRef/>
      </w:r>
      <w:r>
        <w:t xml:space="preserve"> Richard J. Bernstein, “An Allegory of Modernity/ Postmodernity: Habermas and Derrida,” in </w:t>
      </w:r>
      <w:r>
        <w:rPr>
          <w:i/>
          <w:iCs/>
        </w:rPr>
        <w:t>The Derrida-Habermas Reader</w:t>
      </w:r>
      <w:r>
        <w:t>, ed. Lasse Thomassen, pp. 204–229 (Chicago: University of Chicago Press, 2006 [1992]), 83–84.</w:t>
      </w:r>
    </w:p>
  </w:footnote>
  <w:footnote w:id="44">
    <w:p w14:paraId="2D4A94F2" w14:textId="77777777" w:rsidR="003C3D27" w:rsidRDefault="00000000">
      <w:pPr>
        <w:pStyle w:val="FootnoteText"/>
      </w:pPr>
      <w:r>
        <w:rPr>
          <w:rStyle w:val="FootnoteReference"/>
        </w:rPr>
        <w:footnoteRef/>
      </w:r>
      <w:r>
        <w:t xml:space="preserve"> Jacques Derrida, quoted in Richard J. Bernstein, “An Allegory of Modernity/ Postmodernity: Habermas and Derrida,” in </w:t>
      </w:r>
      <w:r>
        <w:rPr>
          <w:i/>
          <w:iCs/>
        </w:rPr>
        <w:t>The Derrida-Habermas Reader</w:t>
      </w:r>
      <w:r>
        <w:t>, ed. Lasse Thomassen, pp. 204–229 (Chicago: University of Chicago Press, 2006 [1992]), 84.</w:t>
      </w:r>
    </w:p>
  </w:footnote>
  <w:footnote w:id="45">
    <w:p w14:paraId="2140CC67" w14:textId="77777777" w:rsidR="003C3D27" w:rsidRDefault="00000000">
      <w:pPr>
        <w:pStyle w:val="FootnoteText"/>
      </w:pPr>
      <w:r>
        <w:rPr>
          <w:rStyle w:val="FootnoteReference"/>
        </w:rPr>
        <w:footnoteRef/>
      </w:r>
      <w:r>
        <w:t xml:space="preserve"> Michel Foucault, </w:t>
      </w:r>
      <w:r>
        <w:rPr>
          <w:i/>
          <w:iCs/>
        </w:rPr>
        <w:t>Ethics, Subjectivity, and Truth</w:t>
      </w:r>
      <w:r>
        <w:t xml:space="preserve">, edited by Paul Rabinow, translated by Robert Hurley et al. (New York: New Press, 1994), 135–40, 171. </w:t>
      </w:r>
      <w:r>
        <w:t>稍后福柯放弃了这一论点，并提出了一个关于通过「适当照顾自己」来逃避权力的同义反复的论点，</w:t>
      </w:r>
      <w:r>
        <w:t>288</w:t>
      </w:r>
      <w:r>
        <w:t>。</w:t>
      </w:r>
    </w:p>
  </w:footnote>
  <w:footnote w:id="46">
    <w:p w14:paraId="4DEE3FA4" w14:textId="77777777" w:rsidR="003C3D27" w:rsidRDefault="00000000">
      <w:pPr>
        <w:pStyle w:val="FootnoteText"/>
      </w:pPr>
      <w:r>
        <w:rPr>
          <w:rStyle w:val="FootnoteReference"/>
        </w:rPr>
        <w:footnoteRef/>
      </w:r>
      <w:r>
        <w:t xml:space="preserve"> Pierre Bourdieu, </w:t>
      </w:r>
      <w:r>
        <w:rPr>
          <w:i/>
          <w:iCs/>
        </w:rPr>
        <w:t>Distinction: A Social Critique of the Judgement of Taste</w:t>
      </w:r>
      <w:r>
        <w:t xml:space="preserve"> (Cambridge, MA: Harvard University Press, 1984); Pierre Bourdieu, “Fourth Lecture. Universal Corporatism: The Role of Intellectuals in the Modern World,” trans. Gisele Sapiro and Brian McHale, </w:t>
      </w:r>
      <w:r>
        <w:rPr>
          <w:i/>
          <w:iCs/>
        </w:rPr>
        <w:t>Poetics Today</w:t>
      </w:r>
      <w:r>
        <w:t xml:space="preserve"> 12, no. 4 (1991): 655–69; Pierre Bourdieu, </w:t>
      </w:r>
      <w:r>
        <w:rPr>
          <w:i/>
          <w:iCs/>
        </w:rPr>
        <w:t>Raisons pratiques: sur la theorie de l’action</w:t>
      </w:r>
      <w:r>
        <w:t xml:space="preserve"> (Paris: Editions du Seuil, 1994); English version: </w:t>
      </w:r>
      <w:r>
        <w:rPr>
          <w:i/>
          <w:iCs/>
        </w:rPr>
        <w:t>Practical Reason: On the Theory of Action</w:t>
      </w:r>
      <w:r>
        <w:t xml:space="preserve">, trans. Randal Johnson et al. (Stanford: Stanford University Press, 1998). Bridget Fowler, “Pierre Bourdieu on Social Transformation, with Particular Reference to Political and Symbolic Revolutions,” </w:t>
      </w:r>
      <w:r>
        <w:rPr>
          <w:i/>
          <w:iCs/>
        </w:rPr>
        <w:t>Theory and Society</w:t>
      </w:r>
      <w:r>
        <w:t xml:space="preserve"> 49 2020): 439–635.</w:t>
      </w:r>
    </w:p>
  </w:footnote>
  <w:footnote w:id="47">
    <w:p w14:paraId="480C6792" w14:textId="77777777" w:rsidR="003C3D27" w:rsidRDefault="00000000">
      <w:pPr>
        <w:pStyle w:val="FootnoteText"/>
      </w:pPr>
      <w:r>
        <w:rPr>
          <w:rStyle w:val="FootnoteReference"/>
        </w:rPr>
        <w:footnoteRef/>
      </w:r>
      <w:r>
        <w:t xml:space="preserve"> Jürgen Habermas, </w:t>
      </w:r>
      <w:r>
        <w:rPr>
          <w:i/>
          <w:iCs/>
        </w:rPr>
        <w:t>The Theory of Communicative Action: Volume 1: Reason and the Rationalization of Society</w:t>
      </w:r>
      <w:r>
        <w:t xml:space="preserve"> (Boston: Beacon Press, 1984).</w:t>
      </w:r>
    </w:p>
  </w:footnote>
  <w:footnote w:id="48">
    <w:p w14:paraId="1EEE2295" w14:textId="77777777" w:rsidR="003C3D27" w:rsidRDefault="00000000">
      <w:pPr>
        <w:pStyle w:val="FootnoteText"/>
      </w:pPr>
      <w:r>
        <w:rPr>
          <w:rStyle w:val="FootnoteReference"/>
        </w:rPr>
        <w:footnoteRef/>
      </w:r>
      <w:r>
        <w:t xml:space="preserve"> Chantal Mouffe, ed., </w:t>
      </w:r>
      <w:r>
        <w:rPr>
          <w:i/>
          <w:iCs/>
        </w:rPr>
        <w:t>Deconstruction and Pragmatism</w:t>
      </w:r>
      <w:r>
        <w:t xml:space="preserve"> (London: Routledge, 2003); Dmitri N. Shalin, “Critical Theory and the Pragmatist Challenge,” </w:t>
      </w:r>
      <w:r>
        <w:rPr>
          <w:i/>
          <w:iCs/>
        </w:rPr>
        <w:t>American Journal of Sociology</w:t>
      </w:r>
      <w:r>
        <w:t xml:space="preserve"> 98, no. 2 (1992): 237–79; Dmitri N. Shalin, “Modernity, Postmodernism, and Pragmatist Inquiry: An Introduction,” </w:t>
      </w:r>
      <w:r>
        <w:rPr>
          <w:i/>
          <w:iCs/>
        </w:rPr>
        <w:t>Symbolic Interaction</w:t>
      </w:r>
      <w:r>
        <w:t xml:space="preserve"> 16, no. 4 (1993): 303–32.</w:t>
      </w:r>
    </w:p>
  </w:footnote>
  <w:footnote w:id="49">
    <w:p w14:paraId="30B1801A" w14:textId="77777777" w:rsidR="003C3D27" w:rsidRDefault="00000000">
      <w:pPr>
        <w:pStyle w:val="FootnoteText"/>
      </w:pPr>
      <w:r>
        <w:rPr>
          <w:rStyle w:val="FootnoteReference"/>
        </w:rPr>
        <w:footnoteRef/>
      </w:r>
      <w:r>
        <w:t xml:space="preserve"> Donald E. Stokes, </w:t>
      </w:r>
      <w:r>
        <w:rPr>
          <w:i/>
          <w:iCs/>
        </w:rPr>
        <w:t>Pasteur’s Quadrant: Basic Science and Technological Innovation</w:t>
      </w:r>
      <w:r>
        <w:t xml:space="preserve"> (Washington, DC: Brookings Institution Press, 2011).</w:t>
      </w:r>
    </w:p>
  </w:footnote>
  <w:footnote w:id="50">
    <w:p w14:paraId="248C3459" w14:textId="77777777" w:rsidR="003C3D27" w:rsidRDefault="00000000">
      <w:pPr>
        <w:pStyle w:val="FootnoteText"/>
      </w:pPr>
      <w:r>
        <w:rPr>
          <w:rStyle w:val="FootnoteReference"/>
        </w:rPr>
        <w:footnoteRef/>
      </w:r>
      <w:r>
        <w:t xml:space="preserve"> Hans Joas, </w:t>
      </w:r>
      <w:r>
        <w:rPr>
          <w:i/>
          <w:iCs/>
        </w:rPr>
        <w:t>The Creativity of Action</w:t>
      </w:r>
      <w:r>
        <w:t xml:space="preserve"> (Chicago: University of Chicago Press, 1996).</w:t>
      </w:r>
    </w:p>
  </w:footnote>
  <w:footnote w:id="51">
    <w:p w14:paraId="31C0F813" w14:textId="77777777" w:rsidR="003C3D27" w:rsidRDefault="00000000">
      <w:pPr>
        <w:pStyle w:val="FootnoteText"/>
      </w:pPr>
      <w:r>
        <w:rPr>
          <w:rStyle w:val="FootnoteReference"/>
        </w:rPr>
        <w:footnoteRef/>
      </w:r>
      <w:r>
        <w:t xml:space="preserve"> Josh Whitford, “Pragmatism and the Untenable Dualism of Means and Ends: Why Rational Choice Theory Does Not Deserve Paradigmatic Privilege,” </w:t>
      </w:r>
      <w:r>
        <w:rPr>
          <w:i/>
          <w:iCs/>
        </w:rPr>
        <w:t>Theory &amp; Society</w:t>
      </w:r>
      <w:r>
        <w:t xml:space="preserve"> 31 (2002): 325–63.</w:t>
      </w:r>
    </w:p>
  </w:footnote>
  <w:footnote w:id="52">
    <w:p w14:paraId="52F9BE27" w14:textId="77777777" w:rsidR="003C3D27" w:rsidRDefault="00000000">
      <w:pPr>
        <w:pStyle w:val="FootnoteText"/>
      </w:pPr>
      <w:r>
        <w:rPr>
          <w:rStyle w:val="FootnoteReference"/>
        </w:rPr>
        <w:footnoteRef/>
      </w:r>
      <w:r>
        <w:t xml:space="preserve"> Neil Gross, “A Pragmatist Theory of Social Mechanisms,” </w:t>
      </w:r>
      <w:r>
        <w:rPr>
          <w:i/>
          <w:iCs/>
        </w:rPr>
        <w:t>American Sociological Review</w:t>
      </w:r>
      <w:r>
        <w:t xml:space="preserve"> 74, no. 3 (2009): 358–79.</w:t>
      </w:r>
    </w:p>
  </w:footnote>
  <w:footnote w:id="53">
    <w:p w14:paraId="5200C26C" w14:textId="77777777" w:rsidR="003C3D27" w:rsidRDefault="00000000">
      <w:pPr>
        <w:pStyle w:val="FootnoteText"/>
      </w:pPr>
      <w:r>
        <w:rPr>
          <w:rStyle w:val="FootnoteReference"/>
        </w:rPr>
        <w:footnoteRef/>
      </w:r>
      <w:r>
        <w:t xml:space="preserve"> Richard Rorty, </w:t>
      </w:r>
      <w:r>
        <w:rPr>
          <w:i/>
          <w:iCs/>
        </w:rPr>
        <w:t>Philosophy and the Mirror of Nature</w:t>
      </w:r>
      <w:r>
        <w:t xml:space="preserve"> (Princeton: Princeton University Press, 2009 [1979]).</w:t>
      </w:r>
    </w:p>
  </w:footnote>
  <w:footnote w:id="54">
    <w:p w14:paraId="022F846D" w14:textId="77777777" w:rsidR="003C3D27" w:rsidRDefault="00000000">
      <w:pPr>
        <w:pStyle w:val="FootnoteText"/>
      </w:pPr>
      <w:r>
        <w:rPr>
          <w:rStyle w:val="FootnoteReference"/>
        </w:rPr>
        <w:footnoteRef/>
      </w:r>
      <w:r>
        <w:t xml:space="preserve"> Neil Gross, “Pragmatism and the Study of Large- Scale Social Phenomena,” </w:t>
      </w:r>
      <w:r>
        <w:rPr>
          <w:i/>
          <w:iCs/>
        </w:rPr>
        <w:t>Theory and Society</w:t>
      </w:r>
      <w:r>
        <w:t xml:space="preserve"> 47, no. 1 (2018): 87–111, 106.</w:t>
      </w:r>
    </w:p>
  </w:footnote>
  <w:footnote w:id="55">
    <w:p w14:paraId="73F7FF3E" w14:textId="77777777" w:rsidR="003C3D27" w:rsidRDefault="00000000">
      <w:pPr>
        <w:pStyle w:val="FootnoteText"/>
      </w:pPr>
      <w:r>
        <w:rPr>
          <w:rStyle w:val="FootnoteReference"/>
        </w:rPr>
        <w:footnoteRef/>
      </w:r>
      <w:r>
        <w:t xml:space="preserve"> Hans Joas, </w:t>
      </w:r>
      <w:r>
        <w:rPr>
          <w:i/>
          <w:iCs/>
        </w:rPr>
        <w:t>The Sacredness of the Person: A New Genealogy of Human Rights</w:t>
      </w:r>
      <w:r>
        <w:t xml:space="preserve"> (Washington, DC: Georgetown University Press, 2013).</w:t>
      </w:r>
    </w:p>
  </w:footnote>
  <w:footnote w:id="56">
    <w:p w14:paraId="0C07EFD4" w14:textId="77777777" w:rsidR="003C3D27" w:rsidRDefault="00000000">
      <w:pPr>
        <w:pStyle w:val="FootnoteText"/>
      </w:pPr>
      <w:r>
        <w:rPr>
          <w:rStyle w:val="FootnoteReference"/>
        </w:rPr>
        <w:footnoteRef/>
      </w:r>
      <w:r>
        <w:t xml:space="preserve"> Neil Gross, “Pragmatism and the Study of Large-Scale Social Phenomena,” </w:t>
      </w:r>
      <w:r>
        <w:rPr>
          <w:i/>
          <w:iCs/>
        </w:rPr>
        <w:t>Theory and Society</w:t>
      </w:r>
      <w:r>
        <w:t xml:space="preserve"> 47, no. 1 (2018): 87–111, 106.</w:t>
      </w:r>
    </w:p>
  </w:footnote>
  <w:footnote w:id="57">
    <w:p w14:paraId="27885DA0" w14:textId="77777777" w:rsidR="003C3D27" w:rsidRDefault="00000000">
      <w:pPr>
        <w:pStyle w:val="FootnoteText"/>
      </w:pPr>
      <w:r>
        <w:rPr>
          <w:rStyle w:val="FootnoteReference"/>
        </w:rPr>
        <w:footnoteRef/>
      </w:r>
      <w:r>
        <w:t xml:space="preserve"> Neil Gross, “Pragmatism and the Study of Large-Scale Social Phenomena,” </w:t>
      </w:r>
      <w:r>
        <w:rPr>
          <w:i/>
          <w:iCs/>
        </w:rPr>
        <w:t>Theory and Society</w:t>
      </w:r>
      <w:r>
        <w:t xml:space="preserve"> 47, no. 1 (2018): 87–111, 90.</w:t>
      </w:r>
    </w:p>
  </w:footnote>
  <w:footnote w:id="58">
    <w:p w14:paraId="357C9326" w14:textId="77777777" w:rsidR="003C3D27" w:rsidRDefault="00000000">
      <w:pPr>
        <w:pStyle w:val="FootnoteText"/>
      </w:pPr>
      <w:r>
        <w:rPr>
          <w:rStyle w:val="FootnoteReference"/>
        </w:rPr>
        <w:footnoteRef/>
      </w:r>
      <w:r>
        <w:t xml:space="preserve"> John Holmwood, “Pragmatism and the Prospects of Sociological Theory,” </w:t>
      </w:r>
      <w:r>
        <w:rPr>
          <w:i/>
          <w:iCs/>
        </w:rPr>
        <w:t>Journal of Classical Sociology</w:t>
      </w:r>
      <w:r>
        <w:t xml:space="preserve"> 11, no. 1 (2011): 15–30, 16.</w:t>
      </w:r>
    </w:p>
  </w:footnote>
  <w:footnote w:id="59">
    <w:p w14:paraId="0725F259" w14:textId="77777777" w:rsidR="003C3D27" w:rsidRDefault="00000000">
      <w:pPr>
        <w:pStyle w:val="FootnoteText"/>
      </w:pPr>
      <w:r>
        <w:rPr>
          <w:rStyle w:val="FootnoteReference"/>
        </w:rPr>
        <w:footnoteRef/>
      </w:r>
      <w:r>
        <w:t xml:space="preserve"> John Holmwood, “Reflexivity as Situated Problem-Solving,” </w:t>
      </w:r>
      <w:r>
        <w:rPr>
          <w:i/>
          <w:iCs/>
        </w:rPr>
        <w:t>Sociologica</w:t>
      </w:r>
      <w:r>
        <w:t xml:space="preserve"> 1 (2014): 1–26, 1.</w:t>
      </w:r>
    </w:p>
  </w:footnote>
  <w:footnote w:id="60">
    <w:p w14:paraId="55CEF621" w14:textId="77777777" w:rsidR="003C3D27" w:rsidRDefault="00000000">
      <w:pPr>
        <w:pStyle w:val="FootnoteText"/>
      </w:pPr>
      <w:r>
        <w:rPr>
          <w:rStyle w:val="FootnoteReference"/>
        </w:rPr>
        <w:footnoteRef/>
      </w:r>
      <w:r>
        <w:t xml:space="preserve"> Roudy W. Hildreth, “Reconstructing Dewey on Power,” </w:t>
      </w:r>
      <w:r>
        <w:rPr>
          <w:i/>
          <w:iCs/>
        </w:rPr>
        <w:t>Political Theory</w:t>
      </w:r>
      <w:r>
        <w:t xml:space="preserve"> 37, no. 6 (2009): 780–807.</w:t>
      </w:r>
    </w:p>
  </w:footnote>
  <w:footnote w:id="61">
    <w:p w14:paraId="7FC539DC" w14:textId="77777777" w:rsidR="003C3D27" w:rsidRDefault="00000000">
      <w:pPr>
        <w:pStyle w:val="FootnoteText"/>
      </w:pPr>
      <w:r>
        <w:rPr>
          <w:rStyle w:val="FootnoteReference"/>
        </w:rPr>
        <w:footnoteRef/>
      </w:r>
      <w:r>
        <w:t xml:space="preserve"> Neil Gross, “Durkheim’s Pragmatism Lectures: A Contextual Interpretation,” </w:t>
      </w:r>
      <w:r>
        <w:rPr>
          <w:i/>
          <w:iCs/>
        </w:rPr>
        <w:t>Sociological Theory</w:t>
      </w:r>
      <w:r>
        <w:t xml:space="preserve"> 15, no. 2 (1997): 126–49.</w:t>
      </w:r>
    </w:p>
  </w:footnote>
  <w:footnote w:id="62">
    <w:p w14:paraId="4C49A003" w14:textId="77777777" w:rsidR="003C3D27" w:rsidRDefault="00000000">
      <w:pPr>
        <w:pStyle w:val="FootnoteText"/>
      </w:pPr>
      <w:r>
        <w:rPr>
          <w:rStyle w:val="FootnoteReference"/>
        </w:rPr>
        <w:footnoteRef/>
      </w:r>
      <w:r>
        <w:t xml:space="preserve"> Roudy W. Hildreth, “Reconstructing Dewey on Power,” </w:t>
      </w:r>
      <w:r>
        <w:rPr>
          <w:i/>
          <w:iCs/>
        </w:rPr>
        <w:t>Political Theory</w:t>
      </w:r>
      <w:r>
        <w:t xml:space="preserve"> 37, no. 6 (2009): 780–807.</w:t>
      </w:r>
    </w:p>
  </w:footnote>
  <w:footnote w:id="63">
    <w:p w14:paraId="3F8C6CEE" w14:textId="77777777" w:rsidR="003C3D27" w:rsidRDefault="00000000">
      <w:pPr>
        <w:pStyle w:val="FootnoteText"/>
      </w:pPr>
      <w:r>
        <w:rPr>
          <w:rStyle w:val="FootnoteReference"/>
        </w:rPr>
        <w:footnoteRef/>
      </w:r>
      <w:r>
        <w:t xml:space="preserve"> Erik Schneiderhan, “Genocide Reconsidered: A Pragmatist Approach,” </w:t>
      </w:r>
      <w:r>
        <w:rPr>
          <w:i/>
          <w:iCs/>
        </w:rPr>
        <w:t>Journal for the Theory of Social Behaviour</w:t>
      </w:r>
      <w:r>
        <w:t xml:space="preserve"> 43, no. 3 (2013): 280–300.</w:t>
      </w:r>
    </w:p>
  </w:footnote>
  <w:footnote w:id="64">
    <w:p w14:paraId="093BB823" w14:textId="77777777" w:rsidR="003C3D27" w:rsidRDefault="00000000">
      <w:pPr>
        <w:pStyle w:val="FootnoteText"/>
      </w:pPr>
      <w:r>
        <w:rPr>
          <w:rStyle w:val="FootnoteReference"/>
        </w:rPr>
        <w:footnoteRef/>
      </w:r>
      <w:r>
        <w:t xml:space="preserve"> Erik Schneiderhan, “Genocide Reconsidered: A Pragmatist Approach,” </w:t>
      </w:r>
      <w:r>
        <w:rPr>
          <w:i/>
          <w:iCs/>
        </w:rPr>
        <w:t>Journal for the Theory of Social Behaviour</w:t>
      </w:r>
      <w:r>
        <w:t xml:space="preserve"> 43, no. 3 (2013): 280–300, 286.</w:t>
      </w:r>
    </w:p>
  </w:footnote>
  <w:footnote w:id="65">
    <w:p w14:paraId="5313C9BD" w14:textId="77777777" w:rsidR="003C3D27" w:rsidRDefault="00000000">
      <w:pPr>
        <w:pStyle w:val="FootnoteText"/>
      </w:pPr>
      <w:r>
        <w:rPr>
          <w:rStyle w:val="FootnoteReference"/>
        </w:rPr>
        <w:footnoteRef/>
      </w:r>
      <w:r>
        <w:t xml:space="preserve"> Michael Mann, </w:t>
      </w:r>
      <w:r>
        <w:rPr>
          <w:i/>
          <w:iCs/>
        </w:rPr>
        <w:t>The Dark Side of Democracy: Explaining Ethnic Cleansing</w:t>
      </w:r>
      <w:r>
        <w:t xml:space="preserve"> (Cambridge: Cambridge University Press, 2005).</w:t>
      </w:r>
    </w:p>
  </w:footnote>
  <w:footnote w:id="66">
    <w:p w14:paraId="392F4C40" w14:textId="77777777" w:rsidR="003C3D27" w:rsidRDefault="00000000">
      <w:pPr>
        <w:pStyle w:val="FootnoteText"/>
      </w:pPr>
      <w:r>
        <w:rPr>
          <w:rStyle w:val="FootnoteReference"/>
        </w:rPr>
        <w:footnoteRef/>
      </w:r>
      <w:r>
        <w:t xml:space="preserve"> Aliza Luft, “Toward a Dynamic Theory of Action at the Micro Level of Genocide: Killing, Desistance, and Saving in 1994 Rwanda,” </w:t>
      </w:r>
      <w:r>
        <w:rPr>
          <w:i/>
          <w:iCs/>
        </w:rPr>
        <w:t>Sociological Theory</w:t>
      </w:r>
      <w:r>
        <w:t xml:space="preserve"> 33, no. 2 (2015): 148–72.</w:t>
      </w:r>
    </w:p>
  </w:footnote>
  <w:footnote w:id="67">
    <w:p w14:paraId="668CFF00" w14:textId="77777777" w:rsidR="003C3D27" w:rsidRDefault="00000000">
      <w:pPr>
        <w:pStyle w:val="FootnoteText"/>
      </w:pPr>
      <w:r>
        <w:rPr>
          <w:rStyle w:val="FootnoteReference"/>
        </w:rPr>
        <w:footnoteRef/>
      </w:r>
      <w:r>
        <w:t xml:space="preserve"> David G. Myers and Helmut Lamm, “The Group Polarization Phenomenon,” </w:t>
      </w:r>
      <w:r>
        <w:rPr>
          <w:i/>
          <w:iCs/>
        </w:rPr>
        <w:t>Psychological Bulletin</w:t>
      </w:r>
      <w:r>
        <w:t xml:space="preserve"> 83, no. 4 (1976): 602.</w:t>
      </w:r>
    </w:p>
  </w:footnote>
  <w:footnote w:id="68">
    <w:p w14:paraId="4A1F9557" w14:textId="77777777" w:rsidR="003C3D27" w:rsidRDefault="00000000">
      <w:pPr>
        <w:pStyle w:val="FootnoteText"/>
      </w:pPr>
      <w:r>
        <w:rPr>
          <w:rStyle w:val="FootnoteReference"/>
        </w:rPr>
        <w:footnoteRef/>
      </w:r>
      <w:r>
        <w:t xml:space="preserve"> Cheryl Misak, “Making Disagreement Matter: Pragmatism and Deliberative Democracy,” </w:t>
      </w:r>
      <w:r>
        <w:rPr>
          <w:i/>
          <w:iCs/>
        </w:rPr>
        <w:t>Journal of Speculative Philosophy</w:t>
      </w:r>
      <w:r>
        <w:t xml:space="preserve"> 18, no. 1 (2004): 9–22. For a thorough critique see Joseph Margolis, “Peirce’s Fallibilism,” </w:t>
      </w:r>
      <w:r>
        <w:rPr>
          <w:i/>
          <w:iCs/>
        </w:rPr>
        <w:t>Transactions of the Charles S. Peirce Society</w:t>
      </w:r>
      <w:r>
        <w:t xml:space="preserve"> 34, no. 3 (1998): 535–69.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E8049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231965515">
    <w:abstractNumId w:val="3"/>
  </w:num>
  <w:num w:numId="2" w16cid:durableId="1813672960">
    <w:abstractNumId w:val="4"/>
  </w:num>
  <w:num w:numId="3" w16cid:durableId="1256744933">
    <w:abstractNumId w:val="1"/>
  </w:num>
  <w:num w:numId="4" w16cid:durableId="495725870">
    <w:abstractNumId w:val="2"/>
  </w:num>
  <w:num w:numId="5" w16cid:durableId="77097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D27"/>
    <w:rsid w:val="003C3D27"/>
    <w:rsid w:val="00602A8F"/>
    <w:rsid w:val="00C77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161B"/>
  <w15:docId w15:val="{94593576-A40B-4128-9C74-A51537AE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22</Pages>
  <Words>3102</Words>
  <Characters>17685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Sovling Sociology 解决问题的社会学</dc:title>
  <dc:creator>原著：Monica Prasad 莫妮卡·普拉萨德; 翻译：周忆粟</dc:creator>
  <cp:keywords/>
  <cp:lastModifiedBy>Yisu Zhou</cp:lastModifiedBy>
  <cp:revision>2</cp:revision>
  <dcterms:created xsi:type="dcterms:W3CDTF">2023-12-20T08:45:00Z</dcterms:created>
  <dcterms:modified xsi:type="dcterms:W3CDTF">2023-12-20T08:47:00Z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colorlinks">
    <vt:lpwstr>True</vt:lpwstr>
  </property>
  <property fmtid="{D5CDD505-2E9C-101B-9397-08002B2CF9AE}" pid="4" name="date">
    <vt:lpwstr>版本：2023.12.20</vt:lpwstr>
  </property>
  <property fmtid="{D5CDD505-2E9C-101B-9397-08002B2CF9AE}" pid="5" name="documentclass">
    <vt:lpwstr>ctexart</vt:lpwstr>
  </property>
  <property fmtid="{D5CDD505-2E9C-101B-9397-08002B2CF9AE}" pid="6" name="header-includes">
    <vt:lpwstr/>
  </property>
  <property fmtid="{D5CDD505-2E9C-101B-9397-08002B2CF9AE}" pid="7" name="output">
    <vt:lpwstr/>
  </property>
</Properties>
</file>