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864"/>
          <w:sz w:val="20"/>
        </w:rPr>
        <w:t>TECH MAHINDRA LIMITED</w:t>
      </w:r>
    </w:p>
    <w:p>
      <w:r>
        <w:rPr>
          <w:color w:val="595959"/>
          <w:sz w:val="18"/>
        </w:rPr>
        <w:t>Correspondence to Canada Revenue Agency — for Tech Mahindra signature</w:t>
      </w:r>
    </w:p>
    <w:p>
      <w:r>
        <w:rPr>
          <w:b/>
          <w:color w:val="1F3864"/>
          <w:sz w:val="32"/>
        </w:rPr>
        <w:t>Request for Extension of the Delay to Process Proposed Adjustments</w:t>
      </w:r>
    </w:p>
    <w:p>
      <w:r>
        <w:rPr>
          <w:color w:val="595959"/>
          <w:sz w:val="22"/>
        </w:rPr>
        <w:t>Account 84935 7199 RC0002 | Reference case 31874271 | Tax year-end 2024-03-31</w:t>
      </w:r>
    </w:p>
    <w:p/>
    <w:p>
      <w:pPr>
        <w:jc w:val="left"/>
      </w:pPr>
      <w:r>
        <w:t>August 26, 2026</w:t>
      </w:r>
    </w:p>
    <w:p>
      <w:pPr>
        <w:jc w:val="left"/>
      </w:pPr>
      <w:r>
        <w:t>Kitty Leung</w:t>
      </w:r>
    </w:p>
    <w:p>
      <w:pPr>
        <w:jc w:val="left"/>
      </w:pPr>
      <w:r>
        <w:t>Financial Reviewer</w:t>
      </w:r>
    </w:p>
    <w:p>
      <w:pPr>
        <w:jc w:val="left"/>
      </w:pPr>
      <w:r>
        <w:t>Business Tax Incentive Programs</w:t>
      </w:r>
    </w:p>
    <w:p>
      <w:pPr>
        <w:jc w:val="left"/>
      </w:pPr>
      <w:r>
        <w:t>Northern Ontario Tax Services Office</w:t>
      </w:r>
    </w:p>
    <w:p>
      <w:pPr>
        <w:jc w:val="left"/>
      </w:pPr>
      <w:r>
        <w:t>Canada Revenue Agency</w:t>
      </w:r>
    </w:p>
    <w:p>
      <w:pPr>
        <w:jc w:val="left"/>
      </w:pPr>
      <w:r>
        <w:t>Dear Ms. Leung:</w:t>
      </w:r>
    </w:p>
    <w:p>
      <w:pPr>
        <w:jc w:val="left"/>
      </w:pPr>
      <w:r>
        <w:rPr>
          <w:b/>
        </w:rPr>
        <w:t>Re: Proposal letter dated July 30, 2026 — Scientific Research and Experimental Development (SR&amp;ED) claim, tax year-end 2024-03-31; request for an extension of the delay to process the proposed adjustments</w:t>
      </w:r>
    </w:p>
    <w:p>
      <w:pPr>
        <w:jc w:val="left"/>
      </w:pPr>
      <w:r>
        <w:t>We acknowledge receipt of your proposal letter dated July 30, 2026, together with the Summary of Adjustments, the Audit Adjustments working paper, Schedules A-1, A-31, A-32 and A-508, and the Project Eligibility Report signed July 16, 2026.</w:t>
      </w:r>
    </w:p>
    <w:p>
      <w:pPr>
        <w:jc w:val="left"/>
      </w:pPr>
      <w:r>
        <w:t>Tech Mahindra Limited does not accept the proposed adjustments and intends to provide written representations and additional information for your consideration, as contemplated by your letter. We have not signed and are not returning the Summary of Adjustments.</w:t>
      </w:r>
    </w:p>
    <w:p/>
    <w:p>
      <w:r>
        <w:rPr>
          <w:b/>
          <w:color w:val="1F3864"/>
          <w:sz w:val="26"/>
        </w:rPr>
        <w:t>The request</w:t>
      </w:r>
    </w:p>
    <w:p>
      <w:pPr>
        <w:jc w:val="left"/>
      </w:pPr>
      <w:r>
        <w:t xml:space="preserve">We respectfully request that the delay in processing the proposed adjustments be extended from </w:t>
      </w:r>
      <w:r>
        <w:rPr>
          <w:b/>
        </w:rPr>
        <w:t>August 31, 2026 to September 30, 2026</w:t>
      </w:r>
      <w:r>
        <w:t>. This letter confirms in writing our telephone discussion with you on [DATE OF CALL], in which this request was raised.</w:t>
      </w:r>
    </w:p>
    <w:p/>
    <w:p>
      <w:r>
        <w:rPr>
          <w:b/>
          <w:color w:val="1F3864"/>
          <w:sz w:val="26"/>
        </w:rPr>
        <w:t>Why the additional time is needed</w:t>
      </w:r>
    </w:p>
    <w:p>
      <w:pPr>
        <w:jc w:val="left"/>
      </w:pPr>
      <w:r>
        <w:rPr>
          <w:b/>
        </w:rPr>
        <w:t>1. Five of the seven projects were adjusted on documentation grounds only, and the documentation requires assembly across multiple systems.</w:t>
      </w:r>
      <w:r>
        <w:t xml:space="preserve"> Projects 3 through 7 received no eligibility review. Per the Audit Adjustments working paper, they were adjusted because the salary and hour breakdowns requested in the letter of May 7, 2026 were not provided. Producing records in the form your working paper describes — a breakdown of monthly hours for each employee claimed, indicating SR&amp;ED and non-SR&amp;ED activities for each project — requires extraction and reconciliation of time, resource-management and payroll data across a delivery organisation operating from several locations. We would rather provide records that reconcile to the amounts reported on the T661 than provide a partial extract that raises further questions.</w:t>
      </w:r>
    </w:p>
    <w:p>
      <w:pPr>
        <w:jc w:val="left"/>
      </w:pPr>
      <w:r>
        <w:rPr>
          <w:b/>
        </w:rPr>
        <w:t>2. Contractor documentation must be retrieved and verified before it is submitted.</w:t>
      </w:r>
      <w:r>
        <w:t xml:space="preserve"> The arm's-length contract expenditures reported on line 340 ($304,752) require the underlying agreements and invoices, an allocation of hours to each project, and evidence going to the taxable-supplier status of the ultimate performers. These records sit with procurement and finance and must be verified before we put them in front of you.</w:t>
      </w:r>
    </w:p>
    <w:p>
      <w:pPr>
        <w:jc w:val="left"/>
      </w:pPr>
      <w:r>
        <w:rPr>
          <w:b/>
        </w:rPr>
        <w:t>3. The line 435 adjustment flows from another taxation year.</w:t>
      </w:r>
      <w:r>
        <w:t xml:space="preserve"> The revision of line 435 from $467,727 to $175,850 is based on the investment tax credits as reassessed for the 2023-03-31 taxation year. We are confirming the status and particulars of that reassessment so that our representations for 2024-03-31 are consistent with our position on the prior year.</w:t>
      </w:r>
    </w:p>
    <w:p>
      <w:pPr>
        <w:jc w:val="left"/>
      </w:pPr>
      <w:r>
        <w:rPr>
          <w:b/>
        </w:rPr>
        <w:t>4. A single complete submission serves both parties.</w:t>
      </w:r>
      <w:r>
        <w:t xml:space="preserve"> We would prefer to file one organised package, cross-referenced to the findings in the Project Eligibility Report and to your Audit Adjustments working paper, rather than to submit material in instalments.</w:t>
      </w:r>
    </w:p>
    <w:p/>
    <w:p>
      <w:r>
        <w:rPr>
          <w:b/>
          <w:color w:val="1F3864"/>
          <w:sz w:val="26"/>
        </w:rPr>
        <w:t>What we undertake to do</w:t>
      </w:r>
    </w:p>
    <w:p>
      <w:pPr>
        <w:pStyle w:val="ListBullet"/>
      </w:pPr>
      <w:r>
        <w:t xml:space="preserve">Submit our written representations and supporting documentation on or before </w:t>
      </w:r>
      <w:r>
        <w:rPr>
          <w:b/>
        </w:rPr>
        <w:t>September 30, 2026</w:t>
      </w:r>
      <w:r>
        <w:t>, through the Submit Documents service, quoting reference case number 31874271.</w:t>
      </w:r>
    </w:p>
    <w:p>
      <w:pPr>
        <w:pStyle w:val="ListBullet"/>
      </w:pPr>
      <w:r>
        <w:t xml:space="preserve">Notify you in writing by </w:t>
      </w:r>
      <w:r>
        <w:rPr>
          <w:b/>
        </w:rPr>
        <w:t>September 12, 2026</w:t>
      </w:r>
      <w:r>
        <w:t xml:space="preserve"> if any item we have undertaken to produce cannot be produced, together with the reason.</w:t>
      </w:r>
    </w:p>
    <w:p>
      <w:pPr>
        <w:pStyle w:val="ListBullet"/>
      </w:pPr>
      <w:r>
        <w:t>Make our technical personnel available for a further discussion with Mr. Brunner, should the Agency consider that it would assist the review of any project.</w:t>
      </w:r>
    </w:p>
    <w:p>
      <w:pPr>
        <w:jc w:val="left"/>
      </w:pPr>
      <w:r>
        <w:t>We would be grateful if you could confirm the revised date in writing. If the Agency is unable to grant the full extension requested, please advise what period is available so that we can prioritise our submission accordingly.</w:t>
      </w:r>
    </w:p>
    <w:p>
      <w:pPr>
        <w:jc w:val="left"/>
      </w:pPr>
      <w:r>
        <w:t>Please contact the undersigned at [PHONE] or [EMAIL] with any questions.</w:t>
      </w:r>
    </w:p>
    <w:p>
      <w:pPr>
        <w:jc w:val="left"/>
      </w:pPr>
      <w:r>
        <w:t>Yours sincerely,</w:t>
      </w:r>
    </w:p>
    <w:p/>
    <w:p/>
    <w:p>
      <w:r>
        <w:rPr>
          <w:i/>
          <w:color w:val="595959"/>
          <w:sz w:val="18"/>
        </w:rPr>
        <w:t>_____________________________</w:t>
      </w:r>
    </w:p>
    <w:p>
      <w:pPr>
        <w:jc w:val="left"/>
      </w:pPr>
      <w:r>
        <w:t>Heena Shah</w:t>
      </w:r>
    </w:p>
    <w:p>
      <w:pPr>
        <w:jc w:val="left"/>
      </w:pPr>
      <w:r>
        <w:t>Tech Mahindra Limited</w:t>
      </w:r>
    </w:p>
    <w:p>
      <w:pPr>
        <w:jc w:val="left"/>
      </w:pPr>
      <w:r>
        <w:t>530 - 36 Toronto St, Toronto ON M5C 2C5</w:t>
      </w:r>
    </w:p>
    <w:p>
      <w:pPr>
        <w:jc w:val="left"/>
      </w:pPr>
      <w:r>
        <w:t>cc: Tony Brunner, Research and Technology Advisor, Canada Revenue Agency</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