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0"/>
        </w:rPr>
        <w:t>CERTAINTI.AI</w:t>
      </w:r>
    </w:p>
    <w:p>
      <w:r>
        <w:rPr>
          <w:color w:val="595959"/>
          <w:sz w:val="18"/>
        </w:rPr>
        <w:t>SR&amp;ED Advisory — Internal call script. NOT FOR RELEASE TO CRA OR CLIENT.</w:t>
      </w:r>
    </w:p>
    <w:p>
      <w:r>
        <w:rPr>
          <w:b/>
          <w:color w:val="1F3864"/>
          <w:sz w:val="32"/>
        </w:rPr>
        <w:t>Telephone Call — Kitty Leung, CRA Financial Reviewer</w:t>
      </w:r>
    </w:p>
    <w:p>
      <w:r>
        <w:rPr>
          <w:color w:val="595959"/>
          <w:sz w:val="22"/>
        </w:rPr>
        <w:t>Tech Mahindra Limited | Reference case 31874271 | Tax year-end 2024-03-31</w:t>
      </w:r>
    </w:p>
    <w:p/>
    <w:tbl>
      <w:tblPr>
        <w:tblStyle w:val="TableGrid"/>
        <w:tblW w:type="auto" w:w="0"/>
        <w:tblLook w:firstColumn="1" w:firstRow="1" w:lastColumn="0" w:lastRow="0" w:noHBand="0" w:noVBand="1" w:val="04A0"/>
      </w:tblPr>
      <w:tblGrid>
        <w:gridCol w:w="10080"/>
      </w:tblGrid>
      <w:tr>
        <w:tc>
          <w:tcPr>
            <w:tcW w:type="dxa" w:w="10080"/>
            <w:shd w:val="clear" w:fill="EAF0F8"/>
          </w:tcPr>
          <w:p>
            <w:r>
              <w:rPr>
                <w:b/>
                <w:sz w:val="21"/>
              </w:rPr>
              <w:t>Purpose of the call:</w:t>
            </w:r>
            <w:r>
              <w:rPr>
                <w:sz w:val="21"/>
              </w:rPr>
              <w:t xml:space="preserve"> secure an extension of the August 31, 2026 processing delay, and establish the facts we need to plan the submission. The call is not the place to argue eligibility. The written letter follows the same day.</w:t>
            </w:r>
          </w:p>
        </w:tc>
      </w:tr>
    </w:tbl>
    <w:p/>
    <w:p/>
    <w:p>
      <w:r>
        <w:rPr>
          <w:b/>
          <w:color w:val="1F3864"/>
          <w:sz w:val="26"/>
        </w:rPr>
        <w:t>Before you dial</w:t>
      </w:r>
    </w:p>
    <w:p>
      <w:pPr>
        <w:pStyle w:val="ListBullet"/>
      </w:pPr>
      <w:r>
        <w:t xml:space="preserve">Caller should be </w:t>
      </w:r>
      <w:r>
        <w:rPr>
          <w:b/>
        </w:rPr>
        <w:t>Heena Shah (Tech Mahindra)</w:t>
      </w:r>
      <w:r>
        <w:t>, or Certainti with the client on the line. If Certainti calls alone, CRA will ask about authorisation — confirm level 2 representative authorisation is on file first.</w:t>
      </w:r>
    </w:p>
    <w:p>
      <w:pPr>
        <w:pStyle w:val="ListBullet"/>
      </w:pPr>
      <w:r>
        <w:t>Have open: the proposal letter (July 30, 2026), the Audit Adjustments working paper, and the draft extension letter.</w:t>
      </w:r>
    </w:p>
    <w:p>
      <w:pPr>
        <w:pStyle w:val="ListBullet"/>
      </w:pPr>
      <w:r>
        <w:t xml:space="preserve">Phone: </w:t>
      </w:r>
      <w:r>
        <w:rPr>
          <w:b/>
        </w:rPr>
        <w:t>Kitty Leung, 416-805-6591.</w:t>
      </w:r>
      <w:r>
        <w:t xml:space="preserve"> Reference case </w:t>
      </w:r>
      <w:r>
        <w:rPr>
          <w:b/>
        </w:rPr>
        <w:t>31874271</w:t>
      </w:r>
      <w:r>
        <w:t xml:space="preserve">, account </w:t>
      </w:r>
      <w:r>
        <w:rPr>
          <w:b/>
        </w:rPr>
        <w:t>84935 7199 RC0002</w:t>
      </w:r>
      <w:r>
        <w:t xml:space="preserve">, tax year-end </w:t>
      </w:r>
      <w:r>
        <w:rPr>
          <w:b/>
        </w:rPr>
        <w:t>2024-03-31</w:t>
      </w:r>
      <w:r>
        <w:t>.</w:t>
      </w:r>
    </w:p>
    <w:p>
      <w:pPr>
        <w:pStyle w:val="ListBullet"/>
      </w:pPr>
      <w:r>
        <w:t>Have the draft letter ready to submit the same day through Submit Documents. A verbal extension that is never confirmed in writing protects nobody.</w:t>
      </w:r>
    </w:p>
    <w:p/>
    <w:p>
      <w:r>
        <w:rPr>
          <w:b/>
          <w:color w:val="1F3864"/>
          <w:sz w:val="26"/>
        </w:rPr>
        <w:t>Opening — keep it to thirty seconds</w:t>
      </w:r>
    </w:p>
    <w:tbl>
      <w:tblPr>
        <w:tblStyle w:val="TableGrid"/>
        <w:tblW w:type="auto" w:w="0"/>
        <w:tblLook w:firstColumn="1" w:firstRow="1" w:lastColumn="0" w:lastRow="0" w:noHBand="0" w:noVBand="1" w:val="04A0"/>
      </w:tblPr>
      <w:tblGrid>
        <w:gridCol w:w="10080"/>
      </w:tblGrid>
      <w:tr>
        <w:tc>
          <w:tcPr>
            <w:tcW w:type="dxa" w:w="10080"/>
            <w:shd w:val="clear" w:fill="EAF0F8"/>
          </w:tcPr>
          <w:p>
            <w:r>
              <w:rPr>
                <w:sz w:val="21"/>
              </w:rPr>
              <w:t>"Ms. Leung, this is [NAME] calling for Tech Mahindra Limited about reference case 31874271, tax year-end March 31, 2024. We received your proposal letter of July 30. We do not accept the proposed adjustments and we will be filing written representations. I am calling to request an extension of the August 31 date, and I will confirm the request in writing today."</w:t>
            </w:r>
          </w:p>
        </w:tc>
      </w:tr>
    </w:tbl>
    <w:p/>
    <w:p/>
    <w:p>
      <w:r>
        <w:rPr>
          <w:b/>
          <w:color w:val="1F3864"/>
          <w:sz w:val="26"/>
        </w:rPr>
        <w:t>The ask</w:t>
      </w:r>
    </w:p>
    <w:p>
      <w:pPr>
        <w:jc w:val="left"/>
      </w:pPr>
      <w:r>
        <w:t xml:space="preserve">Request </w:t>
      </w:r>
      <w:r>
        <w:rPr>
          <w:b/>
        </w:rPr>
        <w:t>September 30, 2026</w:t>
      </w:r>
      <w:r>
        <w:t xml:space="preserve"> — thirty days. Give the reasons in this order, briefly:</w:t>
      </w:r>
    </w:p>
    <w:p>
      <w:pPr>
        <w:pStyle w:val="ListNumber"/>
      </w:pPr>
      <w:r>
        <w:t>Projects 3 to 7 were adjusted for want of documentation, not on technical merit. Assembling per-employee monthly SR&amp;ED / non-SR&amp;ED hour records across several delivery locations takes time to do properly.</w:t>
      </w:r>
    </w:p>
    <w:p>
      <w:pPr>
        <w:pStyle w:val="ListNumber"/>
      </w:pPr>
      <w:r>
        <w:t>Contractor agreements, invoices and taxable-supplier evidence for the line 340 expenditures must be retrieved and verified.</w:t>
      </w:r>
    </w:p>
    <w:p>
      <w:pPr>
        <w:pStyle w:val="ListNumber"/>
      </w:pPr>
      <w:r>
        <w:t>The line 435 adjustment flows from the 2023-03-31 year and we are confirming that year's status.</w:t>
      </w:r>
    </w:p>
    <w:p>
      <w:pPr>
        <w:pStyle w:val="ListNumber"/>
      </w:pPr>
      <w:r>
        <w:t>One complete package is better for both sides than instalments.</w:t>
      </w:r>
    </w:p>
    <w:p/>
    <w:p>
      <w:r>
        <w:rPr>
          <w:b/>
          <w:color w:val="1F3864"/>
          <w:sz w:val="26"/>
        </w:rPr>
        <w:t>Questions to ask — and why each one matters</w:t>
      </w:r>
    </w:p>
    <w:tbl>
      <w:tblPr>
        <w:tblStyle w:val="TableGrid"/>
        <w:tblW w:type="auto" w:w="0"/>
        <w:jc w:val="left"/>
        <w:tblLook w:firstColumn="1" w:firstRow="1" w:lastColumn="0" w:lastRow="0" w:noHBand="0" w:noVBand="1" w:val="04A0"/>
      </w:tblPr>
      <w:tblGrid>
        <w:gridCol w:w="5040"/>
        <w:gridCol w:w="5040"/>
      </w:tblGrid>
      <w:tr>
        <w:tc>
          <w:tcPr>
            <w:tcW w:type="dxa" w:w="5040"/>
            <w:shd w:val="clear" w:fill="1F3864"/>
          </w:tcPr>
          <w:p>
            <w:r>
              <w:rPr>
                <w:b/>
                <w:color w:val="FFFFFF"/>
                <w:sz w:val="20"/>
              </w:rPr>
              <w:t>Ask</w:t>
            </w:r>
          </w:p>
        </w:tc>
        <w:tc>
          <w:tcPr>
            <w:tcW w:type="dxa" w:w="5040"/>
            <w:shd w:val="clear" w:fill="1F3864"/>
          </w:tcPr>
          <w:p>
            <w:r>
              <w:rPr>
                <w:b/>
                <w:color w:val="FFFFFF"/>
                <w:sz w:val="20"/>
              </w:rPr>
              <w:t>Why we need the answer</w:t>
            </w:r>
          </w:p>
        </w:tc>
      </w:tr>
      <w:tr>
        <w:tc>
          <w:tcPr>
            <w:tcW w:type="dxa" w:w="5040"/>
          </w:tcPr>
          <w:p>
            <w:r>
              <w:rPr>
                <w:sz w:val="20"/>
              </w:rPr>
              <w:t>Can you confirm the extension in writing, and the date?</w:t>
            </w:r>
          </w:p>
        </w:tc>
        <w:tc>
          <w:tcPr>
            <w:tcW w:type="dxa" w:w="5040"/>
          </w:tcPr>
          <w:p>
            <w:r>
              <w:rPr>
                <w:sz w:val="20"/>
              </w:rPr>
              <w:t>A verbal grant is not a record. We need something to point to.</w:t>
            </w:r>
          </w:p>
        </w:tc>
      </w:tr>
      <w:tr>
        <w:tc>
          <w:tcPr>
            <w:tcW w:type="dxa" w:w="5040"/>
          </w:tcPr>
          <w:p>
            <w:r>
              <w:rPr>
                <w:sz w:val="20"/>
              </w:rPr>
              <w:t>In what form would you like the employee hour breakdowns — system extract, per-project summary, or both?</w:t>
            </w:r>
          </w:p>
        </w:tc>
        <w:tc>
          <w:tcPr>
            <w:tcW w:type="dxa" w:w="5040"/>
          </w:tcPr>
          <w:p>
            <w:r>
              <w:rPr>
                <w:sz w:val="20"/>
              </w:rPr>
              <w:t>Removes the risk of producing the wrong artefact twice.</w:t>
            </w:r>
          </w:p>
        </w:tc>
      </w:tr>
      <w:tr>
        <w:tc>
          <w:tcPr>
            <w:tcW w:type="dxa" w:w="5040"/>
          </w:tcPr>
          <w:p>
            <w:r>
              <w:rPr>
                <w:sz w:val="20"/>
              </w:rPr>
              <w:t>If we submit records for Projects 3 to 7, does an eligibility review by Mr. Brunner follow, and on what timeline?</w:t>
            </w:r>
          </w:p>
        </w:tc>
        <w:tc>
          <w:tcPr>
            <w:tcW w:type="dxa" w:w="5040"/>
          </w:tcPr>
          <w:p>
            <w:r>
              <w:rPr>
                <w:sz w:val="20"/>
              </w:rPr>
              <w:t>Substantiation is only the first gate. We need to know if a second review is coming before we set client expectations.</w:t>
            </w:r>
          </w:p>
        </w:tc>
      </w:tr>
      <w:tr>
        <w:tc>
          <w:tcPr>
            <w:tcW w:type="dxa" w:w="5040"/>
          </w:tcPr>
          <w:p>
            <w:r>
              <w:rPr>
                <w:sz w:val="20"/>
              </w:rPr>
              <w:t>Is the 2023-03-31 reassessment final, or is an objection outstanding on the Agency's records?</w:t>
            </w:r>
          </w:p>
        </w:tc>
        <w:tc>
          <w:tcPr>
            <w:tcW w:type="dxa" w:w="5040"/>
          </w:tcPr>
          <w:p>
            <w:r>
              <w:rPr>
                <w:sz w:val="20"/>
              </w:rPr>
              <w:t>We must not take a position for 2024 that contradicts our position for 2023.</w:t>
            </w:r>
          </w:p>
        </w:tc>
      </w:tr>
      <w:tr>
        <w:tc>
          <w:tcPr>
            <w:tcW w:type="dxa" w:w="5040"/>
          </w:tcPr>
          <w:p>
            <w:r>
              <w:rPr>
                <w:sz w:val="20"/>
              </w:rPr>
              <w:t>Is our level 2 representative authorisation current on the account?</w:t>
            </w:r>
          </w:p>
        </w:tc>
        <w:tc>
          <w:tcPr>
            <w:tcW w:type="dxa" w:w="5040"/>
          </w:tcPr>
          <w:p>
            <w:r>
              <w:rPr>
                <w:sz w:val="20"/>
              </w:rPr>
              <w:t>Determines whether Certainti can submit through Represent a Client.</w:t>
            </w:r>
          </w:p>
        </w:tc>
      </w:tr>
      <w:tr>
        <w:tc>
          <w:tcPr>
            <w:tcW w:type="dxa" w:w="5040"/>
          </w:tcPr>
          <w:p>
            <w:r>
              <w:rPr>
                <w:sz w:val="20"/>
              </w:rPr>
              <w:t>If part of the package is ready before the extended date, will you accept it as filed on that date?</w:t>
            </w:r>
          </w:p>
        </w:tc>
        <w:tc>
          <w:tcPr>
            <w:tcW w:type="dxa" w:w="5040"/>
          </w:tcPr>
          <w:p>
            <w:r>
              <w:rPr>
                <w:sz w:val="20"/>
              </w:rPr>
              <w:t>Lets us de-risk the deadline by filing in stages if needed.</w:t>
            </w:r>
          </w:p>
        </w:tc>
      </w:tr>
    </w:tbl>
    <w:p/>
    <w:p/>
    <w:p>
      <w:r>
        <w:rPr>
          <w:b/>
          <w:color w:val="1F3864"/>
          <w:sz w:val="26"/>
        </w:rPr>
        <w:t>What not to say</w:t>
      </w:r>
    </w:p>
    <w:p>
      <w:pPr>
        <w:pStyle w:val="ListBullet"/>
      </w:pPr>
      <w:r>
        <w:rPr>
          <w:b/>
        </w:rPr>
        <w:t>Do not argue the eligibility of Projects 1 or 2, and do not repeat the section 244 language</w:t>
      </w:r>
      <w:r>
        <w:t xml:space="preserve"> — timestamp skew, message ordering, Kafka runtime uncertainty, schema-agnostic parsers, checkpoint markers, telemetry injection, anomaly clustering, adaptive script logic. The Agency has already found in writing that these were not demonstrated. Repeating them on a call, without artefacts, deepens the credibility finding.</w:t>
      </w:r>
    </w:p>
    <w:p>
      <w:pPr>
        <w:pStyle w:val="ListBullet"/>
      </w:pPr>
      <w:r>
        <w:rPr>
          <w:b/>
        </w:rPr>
        <w:t>Do not concede anything on the call</w:t>
      </w:r>
      <w:r>
        <w:t>, including Projects 1 and 2. Any concession is a decision for the client, made in writing, at the time of the submission.</w:t>
      </w:r>
    </w:p>
    <w:p>
      <w:pPr>
        <w:pStyle w:val="ListBullet"/>
      </w:pPr>
      <w:r>
        <w:rPr>
          <w:b/>
        </w:rPr>
        <w:t>Do not speculate about whether records exist</w:t>
      </w:r>
      <w:r>
        <w:t xml:space="preserve"> for Projects 3 to 7. We do not yet know. Say we are compiling them.</w:t>
      </w:r>
    </w:p>
    <w:p>
      <w:pPr>
        <w:pStyle w:val="ListBullet"/>
      </w:pPr>
      <w:r>
        <w:rPr>
          <w:b/>
        </w:rPr>
        <w:t>Do not raise Administrative Review.</w:t>
      </w:r>
      <w:r>
        <w:t xml:space="preserve"> It is a process-fairness remedy and raising it now signals that we expect the representations to fail.</w:t>
      </w:r>
    </w:p>
    <w:p>
      <w:pPr>
        <w:pStyle w:val="ListBullet"/>
      </w:pPr>
      <w:r>
        <w:t>Do not commit to a submission date earlier than September 30 without checking with the engagement lead.</w:t>
      </w:r>
    </w:p>
    <w:p/>
    <w:p>
      <w:r>
        <w:rPr>
          <w:b/>
          <w:color w:val="1F3864"/>
          <w:sz w:val="26"/>
        </w:rPr>
        <w:t>If the answer is not a clean yes</w:t>
      </w:r>
    </w:p>
    <w:tbl>
      <w:tblPr>
        <w:tblStyle w:val="TableGrid"/>
        <w:tblW w:type="auto" w:w="0"/>
        <w:jc w:val="left"/>
        <w:tblLook w:firstColumn="1" w:firstRow="1" w:lastColumn="0" w:lastRow="0" w:noHBand="0" w:noVBand="1" w:val="04A0"/>
      </w:tblPr>
      <w:tblGrid>
        <w:gridCol w:w="5040"/>
        <w:gridCol w:w="5040"/>
      </w:tblGrid>
      <w:tr>
        <w:tc>
          <w:tcPr>
            <w:tcW w:type="dxa" w:w="5040"/>
            <w:shd w:val="clear" w:fill="1F3864"/>
          </w:tcPr>
          <w:p>
            <w:r>
              <w:rPr>
                <w:b/>
                <w:color w:val="FFFFFF"/>
                <w:sz w:val="20"/>
              </w:rPr>
              <w:t>Response</w:t>
            </w:r>
          </w:p>
        </w:tc>
        <w:tc>
          <w:tcPr>
            <w:tcW w:type="dxa" w:w="5040"/>
            <w:shd w:val="clear" w:fill="1F3864"/>
          </w:tcPr>
          <w:p>
            <w:r>
              <w:rPr>
                <w:b/>
                <w:color w:val="FFFFFF"/>
                <w:sz w:val="20"/>
              </w:rPr>
              <w:t>How to handle</w:t>
            </w:r>
          </w:p>
        </w:tc>
      </w:tr>
      <w:tr>
        <w:tc>
          <w:tcPr>
            <w:tcW w:type="dxa" w:w="5040"/>
          </w:tcPr>
          <w:p>
            <w:r>
              <w:rPr>
                <w:sz w:val="20"/>
              </w:rPr>
              <w:t>Offers a shorter extension (e.g. two weeks)</w:t>
            </w:r>
          </w:p>
        </w:tc>
        <w:tc>
          <w:tcPr>
            <w:tcW w:type="dxa" w:w="5040"/>
          </w:tcPr>
          <w:p>
            <w:r>
              <w:rPr>
                <w:sz w:val="20"/>
              </w:rPr>
              <w:t>Accept it, confirm the date in writing, and say we will advise promptly if the shortened period puts any item at risk. Do not negotiate on the call.</w:t>
            </w:r>
          </w:p>
        </w:tc>
      </w:tr>
      <w:tr>
        <w:tc>
          <w:tcPr>
            <w:tcW w:type="dxa" w:w="5040"/>
          </w:tcPr>
          <w:p>
            <w:r>
              <w:rPr>
                <w:sz w:val="20"/>
              </w:rPr>
              <w:t>Refuses an extension</w:t>
            </w:r>
          </w:p>
        </w:tc>
        <w:tc>
          <w:tcPr>
            <w:tcW w:type="dxa" w:w="5040"/>
          </w:tcPr>
          <w:p>
            <w:r>
              <w:rPr>
                <w:sz w:val="20"/>
              </w:rPr>
              <w:t>Ask her to note our request and her refusal on the file. Confirm both in writing the same day. File whatever is ready by August 31 together with a covering letter that states which items are still being compiled and when they will follow. Silence on August 31 is the only outcome we cannot accept.</w:t>
            </w:r>
          </w:p>
        </w:tc>
      </w:tr>
      <w:tr>
        <w:tc>
          <w:tcPr>
            <w:tcW w:type="dxa" w:w="5040"/>
          </w:tcPr>
          <w:p>
            <w:r>
              <w:rPr>
                <w:sz w:val="20"/>
              </w:rPr>
              <w:t>Says "submit what you have"</w:t>
            </w:r>
          </w:p>
        </w:tc>
        <w:tc>
          <w:tcPr>
            <w:tcW w:type="dxa" w:w="5040"/>
          </w:tcPr>
          <w:p>
            <w:r>
              <w:rPr>
                <w:sz w:val="20"/>
              </w:rPr>
              <w:t>Treat as a partial grant. Ask whether a supplementary submission after the date will be considered before assessment issues.</w:t>
            </w:r>
          </w:p>
        </w:tc>
      </w:tr>
      <w:tr>
        <w:tc>
          <w:tcPr>
            <w:tcW w:type="dxa" w:w="5040"/>
          </w:tcPr>
          <w:p>
            <w:r>
              <w:rPr>
                <w:sz w:val="20"/>
              </w:rPr>
              <w:t>Refers you to the RTA or a team leader</w:t>
            </w:r>
          </w:p>
        </w:tc>
        <w:tc>
          <w:tcPr>
            <w:tcW w:type="dxa" w:w="5040"/>
          </w:tcPr>
          <w:p>
            <w:r>
              <w:rPr>
                <w:sz w:val="20"/>
              </w:rPr>
              <w:t>Take the name, number and title. Escalation to the Financial Reviewer's and RTA's managers is an available and legitimate step before Administrative Review.</w:t>
            </w:r>
          </w:p>
        </w:tc>
      </w:tr>
    </w:tbl>
    <w:p/>
    <w:p/>
    <w:p>
      <w:r>
        <w:rPr>
          <w:b/>
          <w:color w:val="1F3864"/>
          <w:sz w:val="26"/>
        </w:rPr>
        <w:t>Immediately after the call</w:t>
      </w:r>
    </w:p>
    <w:p>
      <w:pPr>
        <w:pStyle w:val="ListNumber"/>
      </w:pPr>
      <w:r>
        <w:t>Complete the call log below the same day.</w:t>
      </w:r>
    </w:p>
    <w:p>
      <w:pPr>
        <w:pStyle w:val="ListNumber"/>
      </w:pPr>
      <w:r>
        <w:t>Fill the date of call into the extension letter and submit it through Submit Documents / Represent a Client, case 31874271.</w:t>
      </w:r>
    </w:p>
    <w:p>
      <w:pPr>
        <w:pStyle w:val="ListNumber"/>
      </w:pPr>
      <w:r>
        <w:t>Record the file confirmation number from the submission.</w:t>
      </w:r>
    </w:p>
    <w:p>
      <w:pPr>
        <w:pStyle w:val="ListNumber"/>
      </w:pPr>
      <w:r>
        <w:t>Circulate the call log and the submitted letter to the engagement team and to Heena Shah.</w:t>
      </w:r>
    </w:p>
    <w:p/>
    <w:p>
      <w:r>
        <w:rPr>
          <w:b/>
          <w:color w:val="1F3864"/>
          <w:sz w:val="26"/>
        </w:rPr>
        <w:t>Call log — complete at the time of the call</w:t>
      </w:r>
    </w:p>
    <w:tbl>
      <w:tblPr>
        <w:tblStyle w:val="TableGrid"/>
        <w:tblW w:type="auto" w:w="0"/>
        <w:jc w:val="left"/>
        <w:tblLook w:firstColumn="1" w:firstRow="1" w:lastColumn="0" w:lastRow="0" w:noHBand="0" w:noVBand="1" w:val="04A0"/>
      </w:tblPr>
      <w:tblGrid>
        <w:gridCol w:w="5040"/>
        <w:gridCol w:w="5040"/>
      </w:tblGrid>
      <w:tr>
        <w:tc>
          <w:tcPr>
            <w:tcW w:type="dxa" w:w="5040"/>
            <w:shd w:val="clear" w:fill="1F3864"/>
          </w:tcPr>
          <w:p>
            <w:r>
              <w:rPr>
                <w:b/>
                <w:color w:val="FFFFFF"/>
                <w:sz w:val="20"/>
              </w:rPr>
              <w:t>Field</w:t>
            </w:r>
          </w:p>
        </w:tc>
        <w:tc>
          <w:tcPr>
            <w:tcW w:type="dxa" w:w="5040"/>
            <w:shd w:val="clear" w:fill="1F3864"/>
          </w:tcPr>
          <w:p>
            <w:r>
              <w:rPr>
                <w:b/>
                <w:color w:val="FFFFFF"/>
                <w:sz w:val="20"/>
              </w:rPr>
              <w:t>Record</w:t>
            </w:r>
          </w:p>
        </w:tc>
      </w:tr>
      <w:tr>
        <w:tc>
          <w:tcPr>
            <w:tcW w:type="dxa" w:w="5040"/>
          </w:tcPr>
          <w:p>
            <w:r>
              <w:rPr>
                <w:sz w:val="20"/>
              </w:rPr>
              <w:t>Date and time of call</w:t>
            </w:r>
          </w:p>
        </w:tc>
        <w:tc>
          <w:tcPr>
            <w:tcW w:type="dxa" w:w="5040"/>
          </w:tcPr>
          <w:p/>
        </w:tc>
      </w:tr>
      <w:tr>
        <w:tc>
          <w:tcPr>
            <w:tcW w:type="dxa" w:w="5040"/>
          </w:tcPr>
          <w:p>
            <w:r>
              <w:rPr>
                <w:sz w:val="20"/>
              </w:rPr>
              <w:t>CRA officer spoken to</w:t>
            </w:r>
          </w:p>
        </w:tc>
        <w:tc>
          <w:tcPr>
            <w:tcW w:type="dxa" w:w="5040"/>
          </w:tcPr>
          <w:p/>
        </w:tc>
      </w:tr>
      <w:tr>
        <w:tc>
          <w:tcPr>
            <w:tcW w:type="dxa" w:w="5040"/>
          </w:tcPr>
          <w:p>
            <w:r>
              <w:rPr>
                <w:sz w:val="20"/>
              </w:rPr>
              <w:t>Caller(s) on our side</w:t>
            </w:r>
          </w:p>
        </w:tc>
        <w:tc>
          <w:tcPr>
            <w:tcW w:type="dxa" w:w="5040"/>
          </w:tcPr>
          <w:p/>
        </w:tc>
      </w:tr>
      <w:tr>
        <w:tc>
          <w:tcPr>
            <w:tcW w:type="dxa" w:w="5040"/>
          </w:tcPr>
          <w:p>
            <w:r>
              <w:rPr>
                <w:sz w:val="20"/>
              </w:rPr>
              <w:t>Extension granted? Revised date</w:t>
            </w:r>
          </w:p>
        </w:tc>
        <w:tc>
          <w:tcPr>
            <w:tcW w:type="dxa" w:w="5040"/>
          </w:tcPr>
          <w:p/>
        </w:tc>
      </w:tr>
      <w:tr>
        <w:tc>
          <w:tcPr>
            <w:tcW w:type="dxa" w:w="5040"/>
          </w:tcPr>
          <w:p>
            <w:r>
              <w:rPr>
                <w:sz w:val="20"/>
              </w:rPr>
              <w:t>Will CRA confirm in writing?</w:t>
            </w:r>
          </w:p>
        </w:tc>
        <w:tc>
          <w:tcPr>
            <w:tcW w:type="dxa" w:w="5040"/>
          </w:tcPr>
          <w:p/>
        </w:tc>
      </w:tr>
      <w:tr>
        <w:tc>
          <w:tcPr>
            <w:tcW w:type="dxa" w:w="5040"/>
          </w:tcPr>
          <w:p>
            <w:r>
              <w:rPr>
                <w:sz w:val="20"/>
              </w:rPr>
              <w:t>Answers to the questions above</w:t>
            </w:r>
          </w:p>
        </w:tc>
        <w:tc>
          <w:tcPr>
            <w:tcW w:type="dxa" w:w="5040"/>
          </w:tcPr>
          <w:p/>
        </w:tc>
      </w:tr>
      <w:tr>
        <w:tc>
          <w:tcPr>
            <w:tcW w:type="dxa" w:w="5040"/>
          </w:tcPr>
          <w:p>
            <w:r>
              <w:rPr>
                <w:sz w:val="20"/>
              </w:rPr>
              <w:t>Anything the officer volunteered</w:t>
            </w:r>
          </w:p>
        </w:tc>
        <w:tc>
          <w:tcPr>
            <w:tcW w:type="dxa" w:w="5040"/>
          </w:tcPr>
          <w:p/>
        </w:tc>
      </w:tr>
      <w:tr>
        <w:tc>
          <w:tcPr>
            <w:tcW w:type="dxa" w:w="5040"/>
          </w:tcPr>
          <w:p>
            <w:r>
              <w:rPr>
                <w:sz w:val="20"/>
              </w:rPr>
              <w:t>Submission confirmation number</w:t>
            </w:r>
          </w:p>
        </w:tc>
        <w:tc>
          <w:tcPr>
            <w:tcW w:type="dxa" w:w="5040"/>
          </w:tcP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