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0"/>
        </w:rPr>
        <w:t>CERTAINTI.AI</w:t>
      </w:r>
    </w:p>
    <w:p>
      <w:r>
        <w:rPr>
          <w:color w:val="595959"/>
          <w:sz w:val="18"/>
        </w:rPr>
        <w:t>SR&amp;ED Advisory — Client Brief. Prepared for Tech Mahindra Limited.</w:t>
      </w:r>
    </w:p>
    <w:p>
      <w:r>
        <w:rPr>
          <w:b/>
          <w:color w:val="1F3864"/>
          <w:sz w:val="32"/>
        </w:rPr>
        <w:t>CRA Proposal to Deny the FY2024 SR&amp;ED Claim — Where We Stand and What We Need From You</w:t>
      </w:r>
    </w:p>
    <w:p>
      <w:r>
        <w:rPr>
          <w:color w:val="595959"/>
          <w:sz w:val="22"/>
        </w:rPr>
        <w:t>For Heena Shah | Reference case 31874271 | Tax year-end 2024-03-31 | August 26, 2026</w:t>
      </w:r>
    </w:p>
    <w:p/>
    <w:tbl>
      <w:tblPr>
        <w:tblStyle w:val="TableGrid"/>
        <w:tblW w:type="auto" w:w="0"/>
        <w:tblLook w:firstColumn="1" w:firstRow="1" w:lastColumn="0" w:lastRow="0" w:noHBand="0" w:noVBand="1" w:val="04A0"/>
      </w:tblPr>
      <w:tblGrid>
        <w:gridCol w:w="10080"/>
      </w:tblGrid>
      <w:tr>
        <w:tc>
          <w:tcPr>
            <w:tcW w:type="dxa" w:w="10080"/>
            <w:shd w:val="clear" w:fill="EAF0F8"/>
          </w:tcPr>
          <w:p>
            <w:r>
              <w:rPr>
                <w:b/>
                <w:sz w:val="21"/>
              </w:rPr>
              <w:t>The short version.</w:t>
            </w:r>
            <w:r>
              <w:rPr>
                <w:sz w:val="21"/>
              </w:rPr>
              <w:t xml:space="preserve"> On July 30, 2026 the CRA proposed to reduce every figure in Tech Mahindra's FY2024 SR&amp;ED claim to zero — $594,399 of federal and Ontario credits. Five of the seven projects were never assessed on technical merit; they were denied because documentation requested on May 7, 2026 was never provided. That is the part we can fight. Whether we can fight it turns on one question about your records, and we need the answer within 48 hours. We are requesting an extension of the August 31 deadline today.</w:t>
            </w:r>
          </w:p>
        </w:tc>
      </w:tr>
    </w:tbl>
    <w:p/>
    <w:p/>
    <w:p>
      <w:r>
        <w:rPr>
          <w:b/>
          <w:color w:val="1F3864"/>
          <w:sz w:val="26"/>
        </w:rPr>
        <w:t>1. What the CRA has proposed</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shd w:val="clear" w:fill="1F3864"/>
          </w:tcPr>
          <w:p>
            <w:r>
              <w:rPr>
                <w:b/>
                <w:color w:val="FFFFFF"/>
                <w:sz w:val="20"/>
              </w:rPr>
              <w:t>Line item</w:t>
            </w:r>
          </w:p>
        </w:tc>
        <w:tc>
          <w:tcPr>
            <w:tcW w:type="dxa" w:w="2520"/>
            <w:shd w:val="clear" w:fill="1F3864"/>
          </w:tcPr>
          <w:p>
            <w:r>
              <w:rPr>
                <w:b/>
                <w:color w:val="FFFFFF"/>
                <w:sz w:val="20"/>
              </w:rPr>
              <w:t>As filed</w:t>
            </w:r>
          </w:p>
        </w:tc>
        <w:tc>
          <w:tcPr>
            <w:tcW w:type="dxa" w:w="2520"/>
            <w:shd w:val="clear" w:fill="1F3864"/>
          </w:tcPr>
          <w:p>
            <w:r>
              <w:rPr>
                <w:b/>
                <w:color w:val="FFFFFF"/>
                <w:sz w:val="20"/>
              </w:rPr>
              <w:t>Revised by CRA</w:t>
            </w:r>
          </w:p>
        </w:tc>
        <w:tc>
          <w:tcPr>
            <w:tcW w:type="dxa" w:w="2520"/>
            <w:shd w:val="clear" w:fill="1F3864"/>
          </w:tcPr>
          <w:p>
            <w:r>
              <w:rPr>
                <w:b/>
                <w:color w:val="FFFFFF"/>
                <w:sz w:val="20"/>
              </w:rPr>
              <w:t>Difference</w:t>
            </w:r>
          </w:p>
        </w:tc>
      </w:tr>
      <w:tr>
        <w:tc>
          <w:tcPr>
            <w:tcW w:type="dxa" w:w="2520"/>
          </w:tcPr>
          <w:p>
            <w:r>
              <w:rPr>
                <w:sz w:val="20"/>
              </w:rPr>
              <w:t>Total allowable SR&amp;ED expenditures</w:t>
            </w:r>
          </w:p>
        </w:tc>
        <w:tc>
          <w:tcPr>
            <w:tcW w:type="dxa" w:w="2520"/>
          </w:tcPr>
          <w:p>
            <w:r>
              <w:rPr>
                <w:sz w:val="20"/>
              </w:rPr>
              <w:t>$2,280,889</w:t>
            </w:r>
          </w:p>
        </w:tc>
        <w:tc>
          <w:tcPr>
            <w:tcW w:type="dxa" w:w="2520"/>
          </w:tcPr>
          <w:p>
            <w:r>
              <w:rPr>
                <w:sz w:val="20"/>
              </w:rPr>
              <w:t>$0</w:t>
            </w:r>
          </w:p>
        </w:tc>
        <w:tc>
          <w:tcPr>
            <w:tcW w:type="dxa" w:w="2520"/>
          </w:tcPr>
          <w:p>
            <w:r>
              <w:rPr>
                <w:sz w:val="20"/>
              </w:rPr>
              <w:t>$2,280,889</w:t>
            </w:r>
          </w:p>
        </w:tc>
      </w:tr>
      <w:tr>
        <w:tc>
          <w:tcPr>
            <w:tcW w:type="dxa" w:w="2520"/>
          </w:tcPr>
          <w:p>
            <w:r>
              <w:rPr>
                <w:sz w:val="20"/>
              </w:rPr>
              <w:t>Qualified SR&amp;ED expenditures</w:t>
            </w:r>
          </w:p>
        </w:tc>
        <w:tc>
          <w:tcPr>
            <w:tcW w:type="dxa" w:w="2520"/>
          </w:tcPr>
          <w:p>
            <w:r>
              <w:rPr>
                <w:sz w:val="20"/>
              </w:rPr>
              <w:t>$3,191,076</w:t>
            </w:r>
          </w:p>
        </w:tc>
        <w:tc>
          <w:tcPr>
            <w:tcW w:type="dxa" w:w="2520"/>
          </w:tcPr>
          <w:p>
            <w:r>
              <w:rPr>
                <w:sz w:val="20"/>
              </w:rPr>
              <w:t>$0</w:t>
            </w:r>
          </w:p>
        </w:tc>
        <w:tc>
          <w:tcPr>
            <w:tcW w:type="dxa" w:w="2520"/>
          </w:tcPr>
          <w:p>
            <w:r>
              <w:rPr>
                <w:sz w:val="20"/>
              </w:rPr>
              <w:t>$3,191,076</w:t>
            </w:r>
          </w:p>
        </w:tc>
      </w:tr>
      <w:tr>
        <w:tc>
          <w:tcPr>
            <w:tcW w:type="dxa" w:w="2520"/>
          </w:tcPr>
          <w:p>
            <w:r>
              <w:rPr>
                <w:sz w:val="20"/>
              </w:rPr>
              <w:t>Federal investment tax credit</w:t>
            </w:r>
          </w:p>
        </w:tc>
        <w:tc>
          <w:tcPr>
            <w:tcW w:type="dxa" w:w="2520"/>
          </w:tcPr>
          <w:p>
            <w:r>
              <w:rPr>
                <w:sz w:val="20"/>
              </w:rPr>
              <w:t>$478,661</w:t>
            </w:r>
          </w:p>
        </w:tc>
        <w:tc>
          <w:tcPr>
            <w:tcW w:type="dxa" w:w="2520"/>
          </w:tcPr>
          <w:p>
            <w:r>
              <w:rPr>
                <w:sz w:val="20"/>
              </w:rPr>
              <w:t>$0</w:t>
            </w:r>
          </w:p>
        </w:tc>
        <w:tc>
          <w:tcPr>
            <w:tcW w:type="dxa" w:w="2520"/>
          </w:tcPr>
          <w:p>
            <w:r>
              <w:rPr>
                <w:sz w:val="20"/>
              </w:rPr>
              <w:t>$478,661</w:t>
            </w:r>
          </w:p>
        </w:tc>
      </w:tr>
      <w:tr>
        <w:tc>
          <w:tcPr>
            <w:tcW w:type="dxa" w:w="2520"/>
          </w:tcPr>
          <w:p>
            <w:r>
              <w:rPr>
                <w:sz w:val="20"/>
              </w:rPr>
              <w:t>Ontario Research and Development Tax Credit</w:t>
            </w:r>
          </w:p>
        </w:tc>
        <w:tc>
          <w:tcPr>
            <w:tcW w:type="dxa" w:w="2520"/>
          </w:tcPr>
          <w:p>
            <w:r>
              <w:rPr>
                <w:sz w:val="20"/>
              </w:rPr>
              <w:t>$115,738</w:t>
            </w:r>
          </w:p>
        </w:tc>
        <w:tc>
          <w:tcPr>
            <w:tcW w:type="dxa" w:w="2520"/>
          </w:tcPr>
          <w:p>
            <w:r>
              <w:rPr>
                <w:sz w:val="20"/>
              </w:rPr>
              <w:t>$0</w:t>
            </w:r>
          </w:p>
        </w:tc>
        <w:tc>
          <w:tcPr>
            <w:tcW w:type="dxa" w:w="2520"/>
          </w:tcPr>
          <w:p>
            <w:r>
              <w:rPr>
                <w:sz w:val="20"/>
              </w:rPr>
              <w:t>$115,738</w:t>
            </w:r>
          </w:p>
        </w:tc>
      </w:tr>
      <w:tr>
        <w:tc>
          <w:tcPr>
            <w:tcW w:type="dxa" w:w="2520"/>
          </w:tcPr>
          <w:p>
            <w:r>
              <w:rPr>
                <w:sz w:val="20"/>
              </w:rPr>
              <w:t>Net income for tax purposes</w:t>
            </w:r>
          </w:p>
        </w:tc>
        <w:tc>
          <w:tcPr>
            <w:tcW w:type="dxa" w:w="2520"/>
          </w:tcPr>
          <w:p>
            <w:r>
              <w:rPr>
                <w:sz w:val="20"/>
              </w:rPr>
              <w:t>$21,777,058</w:t>
            </w:r>
          </w:p>
        </w:tc>
        <w:tc>
          <w:tcPr>
            <w:tcW w:type="dxa" w:w="2520"/>
          </w:tcPr>
          <w:p>
            <w:r>
              <w:rPr>
                <w:sz w:val="20"/>
              </w:rPr>
              <w:t>$21,407,483</w:t>
            </w:r>
          </w:p>
        </w:tc>
        <w:tc>
          <w:tcPr>
            <w:tcW w:type="dxa" w:w="2520"/>
          </w:tcPr>
          <w:p>
            <w:r>
              <w:rPr>
                <w:sz w:val="20"/>
              </w:rPr>
              <w:t>$369,575 lower</w:t>
            </w:r>
          </w:p>
        </w:tc>
      </w:tr>
    </w:tbl>
    <w:p/>
    <w:p>
      <w:pPr>
        <w:jc w:val="left"/>
      </w:pPr>
      <w:r>
        <w:rPr>
          <w:b/>
        </w:rPr>
        <w:t>Credits at stake: $594,399.</w:t>
      </w:r>
      <w:r>
        <w:t xml:space="preserve"> This is a proposal, not a reassessment. No penalty has been proposed. The right to file a Notice of Objection is fully preserved and arises only once a reassessment is issued.</w:t>
      </w:r>
    </w:p>
    <w:p/>
    <w:p>
      <w:r>
        <w:rPr>
          <w:b/>
          <w:color w:val="1F3864"/>
          <w:sz w:val="26"/>
        </w:rPr>
        <w:t>2. Two different failures, not one</w:t>
      </w:r>
    </w:p>
    <w:p>
      <w:pPr>
        <w:jc w:val="left"/>
      </w:pPr>
      <w:r>
        <w:t>The seven projects failed for two entirely different reasons, and conflating them would cost us.</w:t>
      </w:r>
    </w:p>
    <w:p>
      <w:r>
        <w:rPr>
          <w:b/>
          <w:color w:val="1F3864"/>
          <w:sz w:val="23"/>
        </w:rPr>
        <w:t>Projects 1 and 2 — reviewed, and found not eligible</w:t>
      </w:r>
    </w:p>
    <w:p>
      <w:pPr>
        <w:jc w:val="left"/>
      </w:pPr>
      <w:r>
        <w:t>Rogers CBU Wireless ($740,825) and CBT Scotia QA Managed Service ($559,305) were reviewed technically on May 5 and 7, 2026. The Research and Technology Advisor concluded that the work was system modernisation, integration and configuration of existing tools, and that no technological uncertainty was encountered.</w:t>
      </w:r>
    </w:p>
    <w:p>
      <w:pPr>
        <w:jc w:val="left"/>
      </w:pPr>
      <w:r>
        <w:t xml:space="preserve">The more serious finding is the second one. The CRA states, in writing and for both projects, that the mechanisms described in section 244 of the filed project descriptions — timestamp skew, message ordering, Kafka runtime uncertainty, schema-agnostic parsers, checkpoint markers, telemetry injection, anomaly clustering, adaptive script logic, hypothesis-driven experimentation — were </w:t>
      </w:r>
      <w:r>
        <w:rPr>
          <w:b/>
        </w:rPr>
        <w:t>not demonstrated in the review meetings and not present in the documents submitted</w:t>
      </w:r>
      <w:r>
        <w:t>, which were architecture slides, status decks, dashboards and screenshots.</w:t>
      </w:r>
    </w:p>
    <w:p>
      <w:pPr>
        <w:jc w:val="left"/>
      </w:pPr>
      <w:r>
        <w:t>That is a credibility finding, not just an eligibility finding. It is the reason we will not re-argue those narratives. Restating them without dated evidence would weaken every other position we take, on this year and on future years.</w:t>
      </w:r>
    </w:p>
    <w:p>
      <w:r>
        <w:rPr>
          <w:b/>
          <w:color w:val="1F3864"/>
          <w:sz w:val="23"/>
        </w:rPr>
        <w:t>Projects 3 to 7 — never reviewed at all</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016"/>
            <w:shd w:val="clear" w:fill="1F3864"/>
          </w:tcPr>
          <w:p>
            <w:r>
              <w:rPr>
                <w:b/>
                <w:color w:val="FFFFFF"/>
                <w:sz w:val="20"/>
              </w:rPr>
              <w:t>Project</w:t>
            </w:r>
          </w:p>
        </w:tc>
        <w:tc>
          <w:tcPr>
            <w:tcW w:type="dxa" w:w="2016"/>
            <w:shd w:val="clear" w:fill="1F3864"/>
          </w:tcPr>
          <w:p>
            <w:r>
              <w:rPr>
                <w:b/>
                <w:color w:val="FFFFFF"/>
                <w:sz w:val="20"/>
              </w:rPr>
              <w:t>Salaries</w:t>
            </w:r>
          </w:p>
        </w:tc>
        <w:tc>
          <w:tcPr>
            <w:tcW w:type="dxa" w:w="2016"/>
            <w:shd w:val="clear" w:fill="1F3864"/>
          </w:tcPr>
          <w:p>
            <w:r>
              <w:rPr>
                <w:b/>
                <w:color w:val="FFFFFF"/>
                <w:sz w:val="20"/>
              </w:rPr>
              <w:t>Contracts</w:t>
            </w:r>
          </w:p>
        </w:tc>
        <w:tc>
          <w:tcPr>
            <w:tcW w:type="dxa" w:w="2016"/>
            <w:shd w:val="clear" w:fill="1F3864"/>
          </w:tcPr>
          <w:p>
            <w:r>
              <w:rPr>
                <w:b/>
                <w:color w:val="FFFFFF"/>
                <w:sz w:val="20"/>
              </w:rPr>
              <w:t>Total</w:t>
            </w:r>
          </w:p>
        </w:tc>
        <w:tc>
          <w:tcPr>
            <w:tcW w:type="dxa" w:w="2016"/>
            <w:shd w:val="clear" w:fill="1F3864"/>
          </w:tcPr>
          <w:p>
            <w:r>
              <w:rPr>
                <w:b/>
                <w:color w:val="FFFFFF"/>
                <w:sz w:val="20"/>
              </w:rPr>
              <w:t>Why denied</w:t>
            </w:r>
          </w:p>
        </w:tc>
      </w:tr>
      <w:tr>
        <w:tc>
          <w:tcPr>
            <w:tcW w:type="dxa" w:w="2016"/>
          </w:tcPr>
          <w:p>
            <w:r>
              <w:rPr>
                <w:sz w:val="20"/>
              </w:rPr>
              <w:t>P3 · Rogers QE Channels Y.IN2100171</w:t>
            </w:r>
          </w:p>
        </w:tc>
        <w:tc>
          <w:tcPr>
            <w:tcW w:type="dxa" w:w="2016"/>
          </w:tcPr>
          <w:p>
            <w:r>
              <w:rPr>
                <w:sz w:val="20"/>
              </w:rPr>
              <w:t>$474,329</w:t>
            </w:r>
          </w:p>
        </w:tc>
        <w:tc>
          <w:tcPr>
            <w:tcW w:type="dxa" w:w="2016"/>
          </w:tcPr>
          <w:p>
            <w:r>
              <w:rPr>
                <w:sz w:val="20"/>
              </w:rPr>
              <w:t>$20,992</w:t>
            </w:r>
          </w:p>
        </w:tc>
        <w:tc>
          <w:tcPr>
            <w:tcW w:type="dxa" w:w="2016"/>
          </w:tcPr>
          <w:p>
            <w:r>
              <w:rPr>
                <w:sz w:val="20"/>
              </w:rPr>
              <w:t>$495,321</w:t>
            </w:r>
          </w:p>
        </w:tc>
        <w:tc>
          <w:tcPr>
            <w:tcW w:type="dxa" w:w="2016"/>
          </w:tcPr>
          <w:p>
            <w:r>
              <w:rPr>
                <w:sz w:val="20"/>
              </w:rPr>
              <w:t>Documentation only</w:t>
            </w:r>
          </w:p>
        </w:tc>
      </w:tr>
      <w:tr>
        <w:tc>
          <w:tcPr>
            <w:tcW w:type="dxa" w:w="2016"/>
          </w:tcPr>
          <w:p>
            <w:r>
              <w:rPr>
                <w:sz w:val="20"/>
              </w:rPr>
              <w:t>P4 · Rogers QE Media Y.IN2100190</w:t>
            </w:r>
          </w:p>
        </w:tc>
        <w:tc>
          <w:tcPr>
            <w:tcW w:type="dxa" w:w="2016"/>
          </w:tcPr>
          <w:p>
            <w:r>
              <w:rPr>
                <w:sz w:val="20"/>
              </w:rPr>
              <w:t>$108,344</w:t>
            </w:r>
          </w:p>
        </w:tc>
        <w:tc>
          <w:tcPr>
            <w:tcW w:type="dxa" w:w="2016"/>
          </w:tcPr>
          <w:p>
            <w:r>
              <w:rPr>
                <w:sz w:val="20"/>
              </w:rPr>
              <w:t>$68,288</w:t>
            </w:r>
          </w:p>
        </w:tc>
        <w:tc>
          <w:tcPr>
            <w:tcW w:type="dxa" w:w="2016"/>
          </w:tcPr>
          <w:p>
            <w:r>
              <w:rPr>
                <w:sz w:val="20"/>
              </w:rPr>
              <w:t>$176,632</w:t>
            </w:r>
          </w:p>
        </w:tc>
        <w:tc>
          <w:tcPr>
            <w:tcW w:type="dxa" w:w="2016"/>
          </w:tcPr>
          <w:p>
            <w:r>
              <w:rPr>
                <w:sz w:val="20"/>
              </w:rPr>
              <w:t>Documentation only</w:t>
            </w:r>
          </w:p>
        </w:tc>
      </w:tr>
      <w:tr>
        <w:tc>
          <w:tcPr>
            <w:tcW w:type="dxa" w:w="2016"/>
          </w:tcPr>
          <w:p>
            <w:r>
              <w:rPr>
                <w:sz w:val="20"/>
              </w:rPr>
              <w:t>P5 · Rogers R4B 40633</w:t>
            </w:r>
          </w:p>
        </w:tc>
        <w:tc>
          <w:tcPr>
            <w:tcW w:type="dxa" w:w="2016"/>
          </w:tcPr>
          <w:p>
            <w:r>
              <w:rPr>
                <w:sz w:val="20"/>
              </w:rPr>
              <w:t>$73,519</w:t>
            </w:r>
          </w:p>
        </w:tc>
        <w:tc>
          <w:tcPr>
            <w:tcW w:type="dxa" w:w="2016"/>
          </w:tcPr>
          <w:p>
            <w:r>
              <w:rPr>
                <w:sz w:val="20"/>
              </w:rPr>
              <w:t>$53,718</w:t>
            </w:r>
          </w:p>
        </w:tc>
        <w:tc>
          <w:tcPr>
            <w:tcW w:type="dxa" w:w="2016"/>
          </w:tcPr>
          <w:p>
            <w:r>
              <w:rPr>
                <w:sz w:val="20"/>
              </w:rPr>
              <w:t>$127,237</w:t>
            </w:r>
          </w:p>
        </w:tc>
        <w:tc>
          <w:tcPr>
            <w:tcW w:type="dxa" w:w="2016"/>
          </w:tcPr>
          <w:p>
            <w:r>
              <w:rPr>
                <w:sz w:val="20"/>
              </w:rPr>
              <w:t>Documentation only</w:t>
            </w:r>
          </w:p>
        </w:tc>
      </w:tr>
      <w:tr>
        <w:tc>
          <w:tcPr>
            <w:tcW w:type="dxa" w:w="2016"/>
          </w:tcPr>
          <w:p>
            <w:r>
              <w:rPr>
                <w:sz w:val="20"/>
              </w:rPr>
              <w:t>P6 · Rogers R4B Digital Y.IN2031013</w:t>
            </w:r>
          </w:p>
        </w:tc>
        <w:tc>
          <w:tcPr>
            <w:tcW w:type="dxa" w:w="2016"/>
          </w:tcPr>
          <w:p>
            <w:r>
              <w:rPr>
                <w:sz w:val="20"/>
              </w:rPr>
              <w:t>$18,139</w:t>
            </w:r>
          </w:p>
        </w:tc>
        <w:tc>
          <w:tcPr>
            <w:tcW w:type="dxa" w:w="2016"/>
          </w:tcPr>
          <w:p>
            <w:r>
              <w:rPr>
                <w:sz w:val="20"/>
              </w:rPr>
              <w:t>$23,576</w:t>
            </w:r>
          </w:p>
        </w:tc>
        <w:tc>
          <w:tcPr>
            <w:tcW w:type="dxa" w:w="2016"/>
          </w:tcPr>
          <w:p>
            <w:r>
              <w:rPr>
                <w:sz w:val="20"/>
              </w:rPr>
              <w:t>$41,715</w:t>
            </w:r>
          </w:p>
        </w:tc>
        <w:tc>
          <w:tcPr>
            <w:tcW w:type="dxa" w:w="2016"/>
          </w:tcPr>
          <w:p>
            <w:r>
              <w:rPr>
                <w:sz w:val="20"/>
              </w:rPr>
              <w:t>Documentation only</w:t>
            </w:r>
          </w:p>
        </w:tc>
      </w:tr>
      <w:tr>
        <w:tc>
          <w:tcPr>
            <w:tcW w:type="dxa" w:w="2016"/>
          </w:tcPr>
          <w:p>
            <w:r>
              <w:rPr>
                <w:sz w:val="20"/>
              </w:rPr>
              <w:t>P7 · Mt</w:t>
            </w:r>
            <w:r>
              <w:rPr>
                <w:i/>
                <w:sz w:val="20"/>
              </w:rPr>
              <w:t>Cc</w:t>
            </w:r>
            <w:r>
              <w:rPr>
                <w:sz w:val="20"/>
              </w:rPr>
              <w:t>Fp</w:t>
            </w:r>
            <w:r>
              <w:rPr>
                <w:i/>
                <w:sz w:val="20"/>
              </w:rPr>
              <w:t>Legacy</w:t>
            </w:r>
            <w:r>
              <w:rPr>
                <w:sz w:val="20"/>
              </w:rPr>
              <w:t>Ticketing #38370</w:t>
            </w:r>
          </w:p>
        </w:tc>
        <w:tc>
          <w:tcPr>
            <w:tcW w:type="dxa" w:w="2016"/>
          </w:tcPr>
          <w:p>
            <w:r>
              <w:rPr>
                <w:sz w:val="20"/>
              </w:rPr>
              <w:t>$139,854</w:t>
            </w:r>
          </w:p>
        </w:tc>
        <w:tc>
          <w:tcPr>
            <w:tcW w:type="dxa" w:w="2016"/>
          </w:tcPr>
          <w:p>
            <w:r>
              <w:rPr>
                <w:sz w:val="20"/>
              </w:rPr>
              <w:t>$0</w:t>
            </w:r>
          </w:p>
        </w:tc>
        <w:tc>
          <w:tcPr>
            <w:tcW w:type="dxa" w:w="2016"/>
          </w:tcPr>
          <w:p>
            <w:r>
              <w:rPr>
                <w:sz w:val="20"/>
              </w:rPr>
              <w:t>$139,854</w:t>
            </w:r>
          </w:p>
        </w:tc>
        <w:tc>
          <w:tcPr>
            <w:tcW w:type="dxa" w:w="2016"/>
          </w:tcPr>
          <w:p>
            <w:r>
              <w:rPr>
                <w:sz w:val="20"/>
              </w:rPr>
              <w:t>Documentation only</w:t>
            </w:r>
          </w:p>
        </w:tc>
      </w:tr>
      <w:tr>
        <w:tc>
          <w:tcPr>
            <w:tcW w:type="dxa" w:w="2016"/>
          </w:tcPr>
          <w:p>
            <w:r>
              <w:rPr>
                <w:b/>
                <w:sz w:val="20"/>
              </w:rPr>
              <w:t>Total</w:t>
            </w:r>
          </w:p>
        </w:tc>
        <w:tc>
          <w:tcPr>
            <w:tcW w:type="dxa" w:w="2016"/>
          </w:tcPr>
          <w:p>
            <w:r>
              <w:rPr>
                <w:b/>
                <w:sz w:val="20"/>
              </w:rPr>
              <w:t>$814,185</w:t>
            </w:r>
          </w:p>
        </w:tc>
        <w:tc>
          <w:tcPr>
            <w:tcW w:type="dxa" w:w="2016"/>
          </w:tcPr>
          <w:p>
            <w:r>
              <w:rPr>
                <w:b/>
                <w:sz w:val="20"/>
              </w:rPr>
              <w:t>$166,574</w:t>
            </w:r>
          </w:p>
        </w:tc>
        <w:tc>
          <w:tcPr>
            <w:tcW w:type="dxa" w:w="2016"/>
          </w:tcPr>
          <w:p>
            <w:r>
              <w:rPr>
                <w:b/>
                <w:sz w:val="20"/>
              </w:rPr>
              <w:t>$980,759</w:t>
            </w:r>
          </w:p>
        </w:tc>
        <w:tc>
          <w:tcPr>
            <w:tcW w:type="dxa" w:w="2016"/>
          </w:tcPr>
          <w:p/>
        </w:tc>
      </w:tr>
    </w:tbl>
    <w:p/>
    <w:p>
      <w:pPr>
        <w:jc w:val="left"/>
      </w:pPr>
      <w:r>
        <w:t xml:space="preserve">The CRA's own working paper records the reason: the letter of May 7, 2026 asked for a breakdown of monthly hours per employee, split between SR&amp;ED and non-SR&amp;ED work, for each project, plus support for the contractor costs. A response was filed on June 4, 2026 covering Projects 1 and 2. </w:t>
      </w:r>
      <w:r>
        <w:rPr>
          <w:b/>
        </w:rPr>
        <w:t>Nothing was submitted for Projects 3 to 7.</w:t>
      </w:r>
      <w:r>
        <w:t xml:space="preserve"> Separately, all $304,752 of arm's-length contract costs across all seven projects were disallowed for want of agreements, invoices, hour allocations and evidence of the taxable-supplier status of the ultimate performers.</w:t>
      </w:r>
    </w:p>
    <w:p>
      <w:pPr>
        <w:jc w:val="left"/>
      </w:pPr>
      <w:r>
        <w:t>These five projects have not been found ineligible. They have been found undocumented. That distinction is the whole of our opportunity.</w:t>
      </w:r>
    </w:p>
    <w:p/>
    <w:p>
      <w:r>
        <w:rPr>
          <w:b/>
          <w:color w:val="1F3864"/>
          <w:sz w:val="26"/>
        </w:rPr>
        <w:t>3. What can realistically be recovered</w:t>
      </w:r>
    </w:p>
    <w:p>
      <w:pPr>
        <w:jc w:val="left"/>
      </w:pPr>
      <w:r>
        <w:t xml:space="preserve">If every dollar of Projects 3 to 7 were substantiated </w:t>
      </w:r>
      <w:r>
        <w:rPr>
          <w:b/>
        </w:rPr>
        <w:t>and</w:t>
      </w:r>
      <w:r>
        <w:t xml:space="preserve"> then survived the eligibility review that has not yet happened, the arithmetic yields approximately </w:t>
      </w:r>
      <w:r>
        <w:rPr>
          <w:b/>
        </w:rPr>
        <w:t>$250,795</w:t>
      </w:r>
      <w:r>
        <w:t xml:space="preserve"> in credits — roughly $202,000 federal and $48,800 Ontario. That is the ceiling, not a forecast.</w:t>
      </w:r>
    </w:p>
    <w:p>
      <w:pPr>
        <w:jc w:val="left"/>
      </w:pPr>
      <w:r>
        <w:t>We want to be plain about the conditions attached to it:</w:t>
      </w:r>
    </w:p>
    <w:p>
      <w:pPr>
        <w:pStyle w:val="ListBullet"/>
      </w:pPr>
      <w:r>
        <w:t>The records must exist and be capable of reconciling to the amounts on the filed T661. Reconstructed estimates will not carry.</w:t>
      </w:r>
    </w:p>
    <w:p>
      <w:pPr>
        <w:pStyle w:val="ListBullet"/>
      </w:pPr>
      <w:r>
        <w:t>Substantiation only opens the door. Projects 3 to 6 are Rogers QE and R4B workstreams that resemble the fact pattern the Advisor has already ruled against on Project 1. Some or all may not survive an eligibility review.</w:t>
      </w:r>
    </w:p>
    <w:p>
      <w:pPr>
        <w:pStyle w:val="ListBullet"/>
      </w:pPr>
      <w:r>
        <w:t>Project 7 is the strongest of the group: it is salary-only, so there is no contractor documentation problem, and it sits outside the Rogers pattern already judged.</w:t>
      </w:r>
    </w:p>
    <w:p>
      <w:pPr>
        <w:pStyle w:val="ListBullet"/>
      </w:pPr>
      <w:r>
        <w:t>The contractor costs are the weakest component throughout. Where the ultimate performer of the work is not a taxable supplier — which offshore performers generally are not — the expenditure fails the qualified-expenditure test regardless of the paperwork.</w:t>
      </w:r>
    </w:p>
    <w:p>
      <w:pPr>
        <w:jc w:val="left"/>
      </w:pPr>
      <w:r>
        <w:rPr>
          <w:b/>
        </w:rPr>
        <w:t>There is a credible path to recovering nothing. There is no credible path to recovering everything.</w:t>
      </w:r>
      <w:r>
        <w:t xml:space="preserve"> We would rather tell you that now than in October.</w:t>
      </w:r>
    </w:p>
    <w:p/>
    <w:p>
      <w:r>
        <w:rPr>
          <w:b/>
          <w:color w:val="1F3864"/>
          <w:sz w:val="26"/>
        </w:rPr>
        <w:t>4. The one question that decides this — answer needed within 48 hours</w:t>
      </w:r>
    </w:p>
    <w:tbl>
      <w:tblPr>
        <w:tblStyle w:val="TableGrid"/>
        <w:tblW w:type="auto" w:w="0"/>
        <w:tblLook w:firstColumn="1" w:firstRow="1" w:lastColumn="0" w:lastRow="0" w:noHBand="0" w:noVBand="1" w:val="04A0"/>
      </w:tblPr>
      <w:tblGrid>
        <w:gridCol w:w="10080"/>
      </w:tblGrid>
      <w:tr>
        <w:tc>
          <w:tcPr>
            <w:tcW w:type="dxa" w:w="10080"/>
            <w:shd w:val="clear" w:fill="EAF0F8"/>
          </w:tcPr>
          <w:p>
            <w:r>
              <w:rPr>
                <w:b/>
                <w:sz w:val="21"/>
              </w:rPr>
              <w:t>Do per-employee, per-project time records for Projects 3 to 7 exist in any Tech Mahindra system for the year ended March 31, 2024?</w:t>
            </w:r>
          </w:p>
        </w:tc>
      </w:tr>
    </w:tbl>
    <w:p/>
    <w:p>
      <w:pPr>
        <w:jc w:val="left"/>
      </w:pPr>
      <w:r>
        <w:t>Specifically, for the employees whose salaries make up the $814,185 above, can you produce, for each month of FY2024:</w:t>
      </w:r>
    </w:p>
    <w:p>
      <w:pPr>
        <w:pStyle w:val="ListBullet"/>
      </w:pPr>
      <w:r>
        <w:t>the employee's name and role;</w:t>
      </w:r>
    </w:p>
    <w:p>
      <w:pPr>
        <w:pStyle w:val="ListBullet"/>
      </w:pPr>
      <w:r>
        <w:t>the project they charged to, identified by the project codes above;</w:t>
      </w:r>
    </w:p>
    <w:p>
      <w:pPr>
        <w:pStyle w:val="ListBullet"/>
      </w:pPr>
      <w:r>
        <w:t>hours worked, split between SR&amp;ED and non-SR&amp;ED activity;</w:t>
      </w:r>
    </w:p>
    <w:p>
      <w:pPr>
        <w:pStyle w:val="ListBullet"/>
      </w:pPr>
      <w:r>
        <w:t>the system the data comes from, so the extract can be sourced and stood behind.</w:t>
      </w:r>
    </w:p>
    <w:p>
      <w:pPr>
        <w:jc w:val="left"/>
      </w:pPr>
      <w:r>
        <w:t>Please check with the owners of your time and resource systems — Jira, Clarity, SAP timesheets, workforce or resource-management tooling, and delivery-level project trackers — and tell us plainly whether the data exists, whether it is complete, and how long an extract would take.</w:t>
      </w:r>
    </w:p>
    <w:p>
      <w:pPr>
        <w:jc w:val="left"/>
      </w:pPr>
      <w:r>
        <w:rPr>
          <w:b/>
        </w:rPr>
        <w:t>If the answer is yes</w:t>
      </w:r>
      <w:r>
        <w:t>, we launch the evidence sprint immediately and we have a case worth making.</w:t>
      </w:r>
    </w:p>
    <w:p>
      <w:pPr>
        <w:jc w:val="left"/>
      </w:pPr>
      <w:r>
        <w:rPr>
          <w:b/>
        </w:rPr>
        <w:t>If the answer is genuinely no</w:t>
      </w:r>
      <w:r>
        <w:t>, our advice will be to stop spending on the FY2024 defence and redirect that effort into FY2025 and later years. We would rather give you that advice than bill for a submission that cannot succeed.</w:t>
      </w:r>
    </w:p>
    <w:p/>
    <w:p>
      <w:r>
        <w:rPr>
          <w:b/>
          <w:color w:val="1F3864"/>
          <w:sz w:val="26"/>
        </w:rPr>
        <w:t>5. What we need from you</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shd w:val="clear" w:fill="1F3864"/>
          </w:tcPr>
          <w:p>
            <w:r>
              <w:rPr>
                <w:b/>
                <w:color w:val="FFFFFF"/>
                <w:sz w:val="20"/>
              </w:rPr>
              <w:t>#</w:t>
            </w:r>
          </w:p>
        </w:tc>
        <w:tc>
          <w:tcPr>
            <w:tcW w:type="dxa" w:w="2520"/>
            <w:shd w:val="clear" w:fill="1F3864"/>
          </w:tcPr>
          <w:p>
            <w:r>
              <w:rPr>
                <w:b/>
                <w:color w:val="FFFFFF"/>
                <w:sz w:val="20"/>
              </w:rPr>
              <w:t>Item</w:t>
            </w:r>
          </w:p>
        </w:tc>
        <w:tc>
          <w:tcPr>
            <w:tcW w:type="dxa" w:w="2520"/>
            <w:shd w:val="clear" w:fill="1F3864"/>
          </w:tcPr>
          <w:p>
            <w:r>
              <w:rPr>
                <w:b/>
                <w:color w:val="FFFFFF"/>
                <w:sz w:val="20"/>
              </w:rPr>
              <w:t>Owner</w:t>
            </w:r>
          </w:p>
        </w:tc>
        <w:tc>
          <w:tcPr>
            <w:tcW w:type="dxa" w:w="2520"/>
            <w:shd w:val="clear" w:fill="1F3864"/>
          </w:tcPr>
          <w:p>
            <w:r>
              <w:rPr>
                <w:b/>
                <w:color w:val="FFFFFF"/>
                <w:sz w:val="20"/>
              </w:rPr>
              <w:t>Needed by</w:t>
            </w:r>
          </w:p>
        </w:tc>
      </w:tr>
      <w:tr>
        <w:tc>
          <w:tcPr>
            <w:tcW w:type="dxa" w:w="2520"/>
          </w:tcPr>
          <w:p>
            <w:r>
              <w:rPr>
                <w:sz w:val="20"/>
              </w:rPr>
              <w:t>1</w:t>
            </w:r>
          </w:p>
        </w:tc>
        <w:tc>
          <w:tcPr>
            <w:tcW w:type="dxa" w:w="2520"/>
          </w:tcPr>
          <w:p>
            <w:r>
              <w:rPr>
                <w:sz w:val="20"/>
              </w:rPr>
              <w:t>Answer to the records question in section 4</w:t>
            </w:r>
          </w:p>
        </w:tc>
        <w:tc>
          <w:tcPr>
            <w:tcW w:type="dxa" w:w="2520"/>
          </w:tcPr>
          <w:p>
            <w:r>
              <w:rPr>
                <w:sz w:val="20"/>
              </w:rPr>
              <w:t>Tech Mahindra</w:t>
            </w:r>
          </w:p>
        </w:tc>
        <w:tc>
          <w:tcPr>
            <w:tcW w:type="dxa" w:w="2520"/>
          </w:tcPr>
          <w:p>
            <w:r>
              <w:rPr>
                <w:sz w:val="20"/>
              </w:rPr>
              <w:t>Aug 28, 2026</w:t>
            </w:r>
          </w:p>
        </w:tc>
      </w:tr>
      <w:tr>
        <w:tc>
          <w:tcPr>
            <w:tcW w:type="dxa" w:w="2520"/>
          </w:tcPr>
          <w:p>
            <w:r>
              <w:rPr>
                <w:sz w:val="20"/>
              </w:rPr>
              <w:t>2</w:t>
            </w:r>
          </w:p>
        </w:tc>
        <w:tc>
          <w:tcPr>
            <w:tcW w:type="dxa" w:w="2520"/>
          </w:tcPr>
          <w:p>
            <w:r>
              <w:rPr>
                <w:sz w:val="20"/>
              </w:rPr>
              <w:t>Confirmation of who will sign and send the extension letter, and their phone and email</w:t>
            </w:r>
          </w:p>
        </w:tc>
        <w:tc>
          <w:tcPr>
            <w:tcW w:type="dxa" w:w="2520"/>
          </w:tcPr>
          <w:p>
            <w:r>
              <w:rPr>
                <w:sz w:val="20"/>
              </w:rPr>
              <w:t>Tech Mahindra</w:t>
            </w:r>
          </w:p>
        </w:tc>
        <w:tc>
          <w:tcPr>
            <w:tcW w:type="dxa" w:w="2520"/>
          </w:tcPr>
          <w:p>
            <w:r>
              <w:rPr>
                <w:sz w:val="20"/>
              </w:rPr>
              <w:t>Aug 26, 2026</w:t>
            </w:r>
          </w:p>
        </w:tc>
      </w:tr>
      <w:tr>
        <w:tc>
          <w:tcPr>
            <w:tcW w:type="dxa" w:w="2520"/>
          </w:tcPr>
          <w:p>
            <w:r>
              <w:rPr>
                <w:sz w:val="20"/>
              </w:rPr>
              <w:t>3</w:t>
            </w:r>
          </w:p>
        </w:tc>
        <w:tc>
          <w:tcPr>
            <w:tcW w:type="dxa" w:w="2520"/>
          </w:tcPr>
          <w:p>
            <w:r>
              <w:rPr>
                <w:sz w:val="20"/>
              </w:rPr>
              <w:t>Confirmation that Certainti's level 2 representative authorisation is current on account 84935 7199 RC0002</w:t>
            </w:r>
          </w:p>
        </w:tc>
        <w:tc>
          <w:tcPr>
            <w:tcW w:type="dxa" w:w="2520"/>
          </w:tcPr>
          <w:p>
            <w:r>
              <w:rPr>
                <w:sz w:val="20"/>
              </w:rPr>
              <w:t>Tech Mahindra</w:t>
            </w:r>
          </w:p>
        </w:tc>
        <w:tc>
          <w:tcPr>
            <w:tcW w:type="dxa" w:w="2520"/>
          </w:tcPr>
          <w:p>
            <w:r>
              <w:rPr>
                <w:sz w:val="20"/>
              </w:rPr>
              <w:t>Aug 27, 2026</w:t>
            </w:r>
          </w:p>
        </w:tc>
      </w:tr>
      <w:tr>
        <w:tc>
          <w:tcPr>
            <w:tcW w:type="dxa" w:w="2520"/>
          </w:tcPr>
          <w:p>
            <w:r>
              <w:rPr>
                <w:sz w:val="20"/>
              </w:rPr>
              <w:t>4</w:t>
            </w:r>
          </w:p>
        </w:tc>
        <w:tc>
          <w:tcPr>
            <w:tcW w:type="dxa" w:w="2520"/>
          </w:tcPr>
          <w:p>
            <w:r>
              <w:rPr>
                <w:sz w:val="20"/>
              </w:rPr>
              <w:t>The FY2023 (year ended 2023-03-31) notice of reassessment, and confirmation of whether an objection was filed and where it stands</w:t>
            </w:r>
          </w:p>
        </w:tc>
        <w:tc>
          <w:tcPr>
            <w:tcW w:type="dxa" w:w="2520"/>
          </w:tcPr>
          <w:p>
            <w:r>
              <w:rPr>
                <w:sz w:val="20"/>
              </w:rPr>
              <w:t>Tech Mahindra tax</w:t>
            </w:r>
          </w:p>
        </w:tc>
        <w:tc>
          <w:tcPr>
            <w:tcW w:type="dxa" w:w="2520"/>
          </w:tcPr>
          <w:p>
            <w:r>
              <w:rPr>
                <w:sz w:val="20"/>
              </w:rPr>
              <w:t>Aug 28, 2026</w:t>
            </w:r>
          </w:p>
        </w:tc>
      </w:tr>
      <w:tr>
        <w:tc>
          <w:tcPr>
            <w:tcW w:type="dxa" w:w="2520"/>
          </w:tcPr>
          <w:p>
            <w:r>
              <w:rPr>
                <w:sz w:val="20"/>
              </w:rPr>
              <w:t>5</w:t>
            </w:r>
          </w:p>
        </w:tc>
        <w:tc>
          <w:tcPr>
            <w:tcW w:type="dxa" w:w="2520"/>
          </w:tcPr>
          <w:p>
            <w:r>
              <w:rPr>
                <w:sz w:val="20"/>
              </w:rPr>
              <w:t>Contractor agreements, invoices and hour allocations for the $304,752 of contract costs, with the residency and tax status of the ultimate performers</w:t>
            </w:r>
          </w:p>
        </w:tc>
        <w:tc>
          <w:tcPr>
            <w:tcW w:type="dxa" w:w="2520"/>
          </w:tcPr>
          <w:p>
            <w:r>
              <w:rPr>
                <w:sz w:val="20"/>
              </w:rPr>
              <w:t>Tech Mahindra procurement / finance</w:t>
            </w:r>
          </w:p>
        </w:tc>
        <w:tc>
          <w:tcPr>
            <w:tcW w:type="dxa" w:w="2520"/>
          </w:tcPr>
          <w:p>
            <w:r>
              <w:rPr>
                <w:sz w:val="20"/>
              </w:rPr>
              <w:t>Sep 5, 2026</w:t>
            </w:r>
          </w:p>
        </w:tc>
      </w:tr>
      <w:tr>
        <w:tc>
          <w:tcPr>
            <w:tcW w:type="dxa" w:w="2520"/>
          </w:tcPr>
          <w:p>
            <w:r>
              <w:rPr>
                <w:sz w:val="20"/>
              </w:rPr>
              <w:t>6</w:t>
            </w:r>
          </w:p>
        </w:tc>
        <w:tc>
          <w:tcPr>
            <w:tcW w:type="dxa" w:w="2520"/>
          </w:tcPr>
          <w:p>
            <w:r>
              <w:rPr>
                <w:sz w:val="20"/>
              </w:rPr>
              <w:t>Whether any dated technical artefacts exist for Projects 1 and 2 — repository commit history, defect tickets, test result logs, design documents created during FY2024</w:t>
            </w:r>
          </w:p>
        </w:tc>
        <w:tc>
          <w:tcPr>
            <w:tcW w:type="dxa" w:w="2520"/>
          </w:tcPr>
          <w:p>
            <w:r>
              <w:rPr>
                <w:sz w:val="20"/>
              </w:rPr>
              <w:t>Tech Mahindra delivery</w:t>
            </w:r>
          </w:p>
        </w:tc>
        <w:tc>
          <w:tcPr>
            <w:tcW w:type="dxa" w:w="2520"/>
          </w:tcPr>
          <w:p>
            <w:r>
              <w:rPr>
                <w:sz w:val="20"/>
              </w:rPr>
              <w:t>Sep 5, 2026</w:t>
            </w:r>
          </w:p>
        </w:tc>
      </w:tr>
      <w:tr>
        <w:tc>
          <w:tcPr>
            <w:tcW w:type="dxa" w:w="2520"/>
          </w:tcPr>
          <w:p>
            <w:r>
              <w:rPr>
                <w:sz w:val="20"/>
              </w:rPr>
              <w:t>7</w:t>
            </w:r>
          </w:p>
        </w:tc>
        <w:tc>
          <w:tcPr>
            <w:tcW w:type="dxa" w:w="2520"/>
          </w:tcPr>
          <w:p>
            <w:r>
              <w:rPr>
                <w:sz w:val="20"/>
              </w:rPr>
              <w:t>Names and availability of the technical personnel who actually performed the work, if a further discussion with the CRA becomes useful</w:t>
            </w:r>
          </w:p>
        </w:tc>
        <w:tc>
          <w:tcPr>
            <w:tcW w:type="dxa" w:w="2520"/>
          </w:tcPr>
          <w:p>
            <w:r>
              <w:rPr>
                <w:sz w:val="20"/>
              </w:rPr>
              <w:t>Tech Mahindra delivery</w:t>
            </w:r>
          </w:p>
        </w:tc>
        <w:tc>
          <w:tcPr>
            <w:tcW w:type="dxa" w:w="2520"/>
          </w:tcPr>
          <w:p>
            <w:r>
              <w:rPr>
                <w:sz w:val="20"/>
              </w:rPr>
              <w:t>Sep 5, 2026</w:t>
            </w:r>
          </w:p>
        </w:tc>
      </w:tr>
    </w:tbl>
    <w:p/>
    <w:p>
      <w:pPr>
        <w:jc w:val="left"/>
      </w:pPr>
      <w:r>
        <w:t>On item 6, two specific things are worth looking for, because they are the only candidates in the file that might carry: on Project 1, the discovery that the new system generated call detail records every minute where the legacy system generated them every two minutes, and the six-second timing buffer that followed from it; on Project 2, the version history of the code that synchronises the Appium and Selenium scripts through the mobile authentication step. If dated contemporaneous records of either exist, tell us. If they do not, we will say so to the CRA rather than imply otherwise.</w:t>
      </w:r>
    </w:p>
    <w:p/>
    <w:p>
      <w:r>
        <w:rPr>
          <w:b/>
          <w:color w:val="1F3864"/>
          <w:sz w:val="26"/>
        </w:rPr>
        <w:t>6. What we are doing now</w:t>
      </w:r>
    </w:p>
    <w:p>
      <w:pPr>
        <w:pStyle w:val="ListBullet"/>
      </w:pPr>
      <w:r>
        <w:t>Requesting an extension of the August 31 date to September 30, by telephone to the Financial Reviewer and confirmed the same day in writing through Submit Documents. A draft letter for your signature is attached.</w:t>
      </w:r>
    </w:p>
    <w:p>
      <w:pPr>
        <w:pStyle w:val="ListBullet"/>
      </w:pPr>
      <w:r>
        <w:t>Verifying the CRA's arithmetic independently. We have now checked every figure in the proposal package that can be checked against itself; they all reconcile. The one figure we cannot verify from the package is the $175,850, which comes from the FY2023 reassessment — hence item 4 above.</w:t>
      </w:r>
    </w:p>
    <w:p>
      <w:pPr>
        <w:pStyle w:val="ListBullet"/>
      </w:pPr>
      <w:r>
        <w:t>Holding the point-by-point response template ready so that the moment records arrive, compilation starts against the CRA's own stated format.</w:t>
      </w:r>
    </w:p>
    <w:p/>
    <w:p>
      <w:r>
        <w:rPr>
          <w:b/>
          <w:color w:val="1F3864"/>
          <w:sz w:val="26"/>
        </w:rPr>
        <w:t>7. The decisions we will ask you to make</w:t>
      </w:r>
    </w:p>
    <w:p>
      <w:pPr>
        <w:jc w:val="left"/>
      </w:pPr>
      <w:r>
        <w:t>Once the records question is answered — we expect by August 28 — we will ask you to decide three things:</w:t>
      </w:r>
    </w:p>
    <w:p>
      <w:pPr>
        <w:pStyle w:val="ListNumber"/>
      </w:pPr>
      <w:r>
        <w:rPr>
          <w:b/>
        </w:rPr>
        <w:t>Projects 3 to 7:</w:t>
      </w:r>
      <w:r>
        <w:t xml:space="preserve"> contest with a full documentation package, or accept.</w:t>
      </w:r>
    </w:p>
    <w:p>
      <w:pPr>
        <w:pStyle w:val="ListNumber"/>
      </w:pPr>
      <w:r>
        <w:rPr>
          <w:b/>
        </w:rPr>
        <w:t>Projects 1 and 2:</w:t>
      </w:r>
      <w:r>
        <w:t xml:space="preserve"> concede in writing, or contest on the strength of whatever dated artefacts item 6 turns up. Our current recommendation is to concede, professionally and without argument, unless artefacts exist.</w:t>
      </w:r>
    </w:p>
    <w:p>
      <w:pPr>
        <w:pStyle w:val="ListNumber"/>
      </w:pPr>
      <w:r>
        <w:rPr>
          <w:b/>
        </w:rPr>
        <w:t>The FY2023 year:</w:t>
      </w:r>
      <w:r>
        <w:t xml:space="preserve"> whether it is final or still in dispute, because the two years interact. A decision on FY2023 changes the FY2024 numbers, and we should not take inconsistent positions across them.</w:t>
      </w:r>
    </w:p>
    <w:p/>
    <w:p>
      <w:r>
        <w:rPr>
          <w:b/>
          <w:color w:val="1F3864"/>
          <w:sz w:val="26"/>
        </w:rPr>
        <w:t>8. Two things you should know, candidly</w:t>
      </w:r>
    </w:p>
    <w:p>
      <w:pPr>
        <w:jc w:val="left"/>
      </w:pPr>
      <w:r>
        <w:rPr>
          <w:b/>
        </w:rPr>
        <w:t>This is the second consecutive year adjusted.</w:t>
      </w:r>
      <w:r>
        <w:t xml:space="preserve"> FY2023 was reassessed before this file opened. Reviewers read history, and every future claim on this account should be prepared on the assumption of close scrutiny.</w:t>
      </w:r>
    </w:p>
    <w:p>
      <w:pPr>
        <w:jc w:val="left"/>
      </w:pPr>
      <w:r>
        <w:rPr>
          <w:b/>
        </w:rPr>
        <w:t>The narrative-versus-evidence finding needs to be addressed at source.</w:t>
      </w:r>
      <w:r>
        <w:t xml:space="preserve"> The CRA has said in writing that our filed project descriptions described work that could not be demonstrated. Whatever happens on FY2024, we are changing how narratives are drafted and verified before filing, and we will bring you that process rather than wait to be asked for it.</w:t>
      </w:r>
    </w:p>
    <w:p>
      <w:r>
        <w:rPr>
          <w:color w:val="595959"/>
        </w:rPr>
        <w:t>────────────────────────────────────────────────────────────</w:t>
      </w:r>
    </w:p>
    <w:p>
      <w:r>
        <w:rPr>
          <w:i/>
          <w:color w:val="595959"/>
          <w:sz w:val="18"/>
        </w:rPr>
        <w:t>Prepared by the Certainti.AI SR&amp;ED advisory team. This brief is advisory work product and is not legal or tax advice. Given the amount at stake and the findings in the file, we recommend that any representation filed with the CRA be reviewed by a Canadian SR&amp;ED practitioner or tax counsel before submission.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