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0"/>
        </w:rPr>
        <w:t>CERTAINTI.AI</w:t>
      </w:r>
    </w:p>
    <w:p>
      <w:r>
        <w:rPr>
          <w:color w:val="595959"/>
          <w:sz w:val="18"/>
        </w:rPr>
        <w:t>SR&amp;ED Advisory — Internal findings memorandum. Read before any submission.</w:t>
      </w:r>
    </w:p>
    <w:p>
      <w:r>
        <w:rPr>
          <w:b/>
          <w:color w:val="1F3864"/>
          <w:sz w:val="32"/>
        </w:rPr>
        <w:t>What the Client Records Show — and Why the Substantiation Strategy Must Change</w:t>
      </w:r>
    </w:p>
    <w:p>
      <w:r>
        <w:rPr>
          <w:color w:val="595959"/>
          <w:sz w:val="22"/>
        </w:rPr>
        <w:t>Tech Mahindra Limited | Reference case 31874271 | Tax year-end 2024-03-31 | August 26,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EAF0F8"/>
          </w:tcPr>
          <w:p>
            <w:r>
              <w:rPr>
                <w:b/>
                <w:sz w:val="21"/>
              </w:rPr>
              <w:t>The headline.</w:t>
            </w:r>
            <w:r>
              <w:rPr>
                <w:sz w:val="21"/>
              </w:rPr>
              <w:t xml:space="preserve"> The records exist, and they are better than we hoped: 846,994 rows of per-employee, per-day, per-project timesheet data from a PeopleSoft system, covering all twelve months of FY2024. But they do not contain the thing CRA actually asked for. The split between SR&amp;ED and non-SR&amp;ED work was never recorded — it was applied as a flat </w:t>
            </w:r>
            <w:r>
              <w:rPr>
                <w:b/>
                <w:sz w:val="21"/>
              </w:rPr>
              <w:t>15% of every employee's salary</w:t>
            </w:r>
            <w:r>
              <w:rPr>
                <w:sz w:val="21"/>
              </w:rPr>
              <w:t xml:space="preserve"> on six of the seven projects, and a flat </w:t>
            </w:r>
            <w:r>
              <w:rPr>
                <w:b/>
                <w:sz w:val="21"/>
              </w:rPr>
              <w:t>50%</w:t>
            </w:r>
            <w:r>
              <w:rPr>
                <w:sz w:val="21"/>
              </w:rPr>
              <w:t xml:space="preserve"> on the seventh. Submitting the timesheets without addressing this would hand CRA the proof that the allocation was assumed rather than measured.</w:t>
            </w:r>
          </w:p>
        </w:tc>
      </w:tr>
    </w:tbl>
    <w:p/>
    <w:p/>
    <w:p>
      <w:r>
        <w:rPr>
          <w:b/>
          <w:color w:val="1F3864"/>
          <w:sz w:val="26"/>
        </w:rPr>
        <w:t>1. What we received</w:t>
      </w:r>
    </w:p>
    <w:p>
      <w:pPr>
        <w:jc w:val="left"/>
      </w:pPr>
      <w:r>
        <w:t>Received August 26, 2026: the filed T661 project narratives for six project descriptions; six two-month PeopleSoft attendance exports covering April 2023 to March 2024; the FY2324 Canadian salary file; the R&amp;D assessment workbook that built the claim, in its original and its August 24 revised form; the ITC computation for FY2023 and FY2024; eight signed subcontractor agreements; and nineteen subcontractor invoices.</w:t>
      </w:r>
    </w:p>
    <w:p>
      <w:pPr>
        <w:jc w:val="left"/>
      </w:pPr>
      <w:r>
        <w:t>All findings below are reproducible from `analyse</w:t>
      </w:r>
      <w:r>
        <w:rPr>
          <w:i/>
        </w:rPr>
        <w:t>client</w:t>
      </w:r>
      <w:r>
        <w:t>records.py` in this engagement folder. The source files stay in the engagement bundle — they are PROTECTED B and are not in this repository.</w:t>
      </w:r>
    </w:p>
    <w:p/>
    <w:p>
      <w:r>
        <w:rPr>
          <w:b/>
          <w:color w:val="1F3864"/>
          <w:sz w:val="26"/>
        </w:rPr>
        <w:t>2. The binary question is answered — but the answer has two halves</w:t>
      </w:r>
    </w:p>
    <w:p>
      <w:r>
        <w:rPr>
          <w:b/>
          <w:color w:val="1F3864"/>
          <w:sz w:val="23"/>
        </w:rPr>
        <w:t>The records exist, and they are contemporaneous</w:t>
      </w:r>
    </w:p>
    <w:p>
      <w:pPr>
        <w:jc w:val="left"/>
      </w:pPr>
      <w:r>
        <w:t>The attendance exports carry, for every employee and every calendar day: employee id and name, project id and project name, attendance date, hours booked, timesheet approval status, work location, city, country and grade. The embedded SQL shows the source is a PeopleSoft Time and Labor installation (`ps</w:t>
      </w:r>
      <w:r>
        <w:rPr>
          <w:i/>
        </w:rPr>
        <w:t>tl</w:t>
      </w:r>
      <w:r>
        <w:t>rptd</w:t>
      </w:r>
      <w:r>
        <w:rPr>
          <w:i/>
        </w:rPr>
        <w:t>time`, `ps</w:t>
      </w:r>
      <w:r>
        <w:t>tm</w:t>
      </w:r>
      <w:r>
        <w:rPr>
          <w:i/>
        </w:rPr>
        <w:t>tl</w:t>
      </w:r>
      <w:r>
        <w:t>leave_sts`), with a manager approval workflow behind the status field.</w:t>
      </w:r>
    </w:p>
    <w:p>
      <w:pPr>
        <w:jc w:val="left"/>
      </w:pPr>
      <w:r>
        <w:t>That is genuine contemporaneous record-keeping, recorded daily during the year, at finer granularity than the monthly breakdown CRA asked for.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20"/>
              </w:rPr>
              <w:t>Of which approved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20"/>
              </w:rPr>
              <w:t>Employees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20"/>
              </w:rPr>
              <w:t>Months covered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P1 Rogers CBU Wireless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79,173.8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43,244.8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20"/>
              </w:rPr>
              <w:t>P2 CBT Scotia QA Managed Service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0.0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0.0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0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P3 Rogers QE Channels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90,832.0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71,404.0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P4 Rogers QE Media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13,696.0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8,167.0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P5 Rogers R4B 40633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7,921.0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3,900.0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P6 Rogers R4B Digital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4,332.0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3,412.0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P7 Legacy Ticketing 38370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8,182.6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6,700.6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12</w:t>
            </w:r>
          </w:p>
        </w:tc>
      </w:tr>
    </w:tbl>
    <w:p/>
    <w:p>
      <w:pPr>
        <w:jc w:val="left"/>
      </w:pPr>
      <w:r>
        <w:t>For P3 to P7 — the five projects denied purely for want of documentation — we can now produce exactly what the May 7 request asked for on the hours question: which employees worked on which project, month by month, from a system of record.</w:t>
      </w:r>
    </w:p>
    <w:p>
      <w:r>
        <w:rPr>
          <w:b/>
          <w:color w:val="1F3864"/>
          <w:sz w:val="23"/>
        </w:rPr>
        <w:t>What was never recorded is the SR&amp;ED distinction</w:t>
      </w:r>
    </w:p>
    <w:p>
      <w:pPr>
        <w:jc w:val="left"/>
      </w:pPr>
      <w:r>
        <w:t>The R&amp;D assessment workbook that produced the claim applies a single rate to every employee on a project: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864"/>
          </w:tcPr>
          <w:p>
            <w:r>
              <w:rPr>
                <w:b/>
                <w:color w:val="FFFFFF"/>
                <w:sz w:val="20"/>
              </w:rPr>
              <w:t>Project code</w:t>
            </w:r>
          </w:p>
        </w:tc>
        <w:tc>
          <w:tcPr>
            <w:tcW w:type="dxa" w:w="3360"/>
            <w:shd w:val="clear" w:fill="1F3864"/>
          </w:tcPr>
          <w:p>
            <w:r>
              <w:rPr>
                <w:b/>
                <w:color w:val="FFFFFF"/>
                <w:sz w:val="20"/>
              </w:rPr>
              <w:t>Rate applied</w:t>
            </w:r>
          </w:p>
        </w:tc>
        <w:tc>
          <w:tcPr>
            <w:tcW w:type="dxa" w:w="3360"/>
            <w:shd w:val="clear" w:fill="1F3864"/>
          </w:tcPr>
          <w:p>
            <w:r>
              <w:rPr>
                <w:b/>
                <w:color w:val="FFFFFF"/>
                <w:sz w:val="20"/>
              </w:rPr>
              <w:t>Employee rows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Y.IN2100170 (P1)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96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Y.IN2201961 (P2)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169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Y.IN2100171 (P3)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64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Y.IN2100190 (P4)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40633 (P5)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Y.IN2301013 (P6)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38370 (P7)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50%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</w:t>
            </w:r>
          </w:p>
        </w:tc>
      </w:tr>
    </w:tbl>
    <w:p/>
    <w:p>
      <w:pPr>
        <w:jc w:val="left"/>
      </w:pPr>
      <w:r>
        <w:t>376 of 380 employee rows carry exactly 15%. The remaining four, all on P7, carry exactly 50%. There is no variation within any project, and the workbook labels the row `Net QRE %`.</w:t>
      </w:r>
    </w:p>
    <w:p>
      <w:pPr>
        <w:jc w:val="left"/>
      </w:pPr>
      <w:r>
        <w:t>The claim reconciles to this exactly. Every project's claimed salary is its total Canadian project payroll multiplied by that rate — P1 $4,088,153 × 15% = $613,223; P3 $3,162,194 × 15% = $474,329; P7 $279,708 × 50% = $139,854. The contract claim is the same: total subcontractor cost × 15% × a further 0.65 factor the workbook calls `SubCon QRE Adjustment` and does not explain. $3,125,657 × 15% × 0.65 = $304,752.</w:t>
      </w:r>
    </w:p>
    <w:p>
      <w:pPr>
        <w:jc w:val="left"/>
      </w:pPr>
      <w:r>
        <w:t>The SR&amp;ED hours in the workbook were then derived *from* the percentage — available hours × 15% — rather than the percentage being derived from measured hours. The causality runs the wrong way for an audit.</w:t>
      </w:r>
    </w:p>
    <w:p>
      <w:pPr>
        <w:jc w:val="left"/>
      </w:pPr>
      <w:r>
        <w:rPr>
          <w:b/>
        </w:rPr>
        <w:t>This is precisely what CRA wrote:</w:t>
      </w:r>
      <w:r>
        <w:t xml:space="preserve"> "There is no distinction between regular work and SR&amp;ED work." On the current record that finding is not merely defensible — it is correct.</w:t>
      </w:r>
    </w:p>
    <w:p/>
    <w:p>
      <w:r>
        <w:rPr>
          <w:b/>
          <w:color w:val="1F3864"/>
          <w:sz w:val="26"/>
        </w:rPr>
        <w:t>3. The narratives quote real hours, but describe them as something they are not</w:t>
      </w:r>
    </w:p>
    <w:p>
      <w:pPr>
        <w:jc w:val="left"/>
      </w:pPr>
      <w:r>
        <w:t>Five of the six filed narratives quote an hours figure in line 244. Every one of them reconciles exactly to the timesheet system: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864"/>
          </w:tcPr>
          <w:p>
            <w:r>
              <w:rPr>
                <w:b/>
                <w:color w:val="FFFFFF"/>
                <w:sz w:val="20"/>
              </w:rPr>
              <w:t>Narrative</w:t>
            </w:r>
          </w:p>
        </w:tc>
        <w:tc>
          <w:tcPr>
            <w:tcW w:type="dxa" w:w="2520"/>
            <w:shd w:val="clear" w:fill="1F3864"/>
          </w:tcPr>
          <w:p>
            <w:r>
              <w:rPr>
                <w:b/>
                <w:color w:val="FFFFFF"/>
                <w:sz w:val="20"/>
              </w:rPr>
              <w:t>Hours quoted</w:t>
            </w:r>
          </w:p>
        </w:tc>
        <w:tc>
          <w:tcPr>
            <w:tcW w:type="dxa" w:w="2520"/>
            <w:shd w:val="clear" w:fill="1F3864"/>
          </w:tcPr>
          <w:p>
            <w:r>
              <w:rPr>
                <w:b/>
                <w:color w:val="FFFFFF"/>
                <w:sz w:val="20"/>
              </w:rPr>
              <w:t>System total</w:t>
            </w:r>
          </w:p>
        </w:tc>
        <w:tc>
          <w:tcPr>
            <w:tcW w:type="dxa" w:w="2520"/>
            <w:shd w:val="clear" w:fill="1F3864"/>
          </w:tcPr>
          <w:p/>
        </w:tc>
      </w:tr>
      <w:tr>
        <w:tc>
          <w:tcPr>
            <w:tcW w:type="dxa" w:w="2520"/>
          </w:tcPr>
          <w:p>
            <w:r>
              <w:rPr>
                <w:sz w:val="20"/>
              </w:rPr>
              <w:t>P1 Rogers CBU Wireless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79,173.75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79,173.8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matches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P3 Rogers QE Channels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90,831.98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90,832.0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matches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P4 Rogers QE Media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13,696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13,696.0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matches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P5 + P6 (one shared narrative)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12,253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12,253.0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matches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P7 Legacy Ticketing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8,182.56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8,182.6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matches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P2 CBT Scotia QA Managed Service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1,823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0.0 — code absent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no source</w:t>
            </w:r>
          </w:p>
        </w:tc>
      </w:tr>
    </w:tbl>
    <w:p/>
    <w:p>
      <w:pPr>
        <w:jc w:val="left"/>
      </w:pPr>
      <w:r>
        <w:t>This cuts both ways, and both directions matter.</w:t>
      </w:r>
    </w:p>
    <w:p>
      <w:pPr>
        <w:jc w:val="left"/>
      </w:pPr>
      <w:r>
        <w:rPr>
          <w:b/>
        </w:rPr>
        <w:t>In our favour:</w:t>
      </w:r>
      <w:r>
        <w:t xml:space="preserve"> the hours in the narratives are real, system-sourced figures, not invention. That is worth knowing before anyone concludes the narratives were fabricated. They were not.</w:t>
      </w:r>
    </w:p>
    <w:p>
      <w:pPr>
        <w:jc w:val="left"/>
      </w:pPr>
      <w:r>
        <w:rPr>
          <w:b/>
        </w:rPr>
        <w:t>Against us:</w:t>
      </w:r>
      <w:r>
        <w:t xml:space="preserve"> they are *total project hours*, and each narrative presents them as investigative effort. P3's narrative opens "The team spent approximately 90831.98 engineering hours across three investigative tracks." The claim itself asserts only 15% of that effort was SR&amp;ED. The narrative therefore overstates the investigative effort by a factor of about seven against the company's own claim. The same mismatch exists on every project.</w:t>
      </w:r>
    </w:p>
    <w:p>
      <w:pPr>
        <w:jc w:val="left"/>
      </w:pPr>
      <w:r>
        <w:t>If CRA runs this comparison — and the Financial Reviewer has both documents — it reads as a claim that contradicts itself.</w:t>
      </w:r>
    </w:p>
    <w:p/>
    <w:p>
      <w:r>
        <w:rPr>
          <w:b/>
          <w:color w:val="1F3864"/>
          <w:sz w:val="26"/>
        </w:rPr>
        <w:t>4. Project 2 has no hours behind it at all</w:t>
      </w:r>
    </w:p>
    <w:p>
      <w:pPr>
        <w:jc w:val="left"/>
      </w:pPr>
      <w:r>
        <w:t>Project code Y.IN2201961 does not appear anywhere in 846,994 rows of Canadian timesheet data. The claimant's own workbook records `Total Hours: 0` for it. Yet the project carries 169 employee rows and $548,729 of claimed salary — the second-largest salary line in the claim — and its narrative quotes 1,823 hours whose source we cannot locate.</w:t>
      </w:r>
    </w:p>
    <w:p>
      <w:pPr>
        <w:jc w:val="left"/>
      </w:pPr>
      <w:r>
        <w:t>This is consistent with what CRA found: a roughly 500-person managed service delivered mainly from India and Mexico, with Toronto coordinating. The Canadian time system has no hours booked to it.</w:t>
      </w:r>
    </w:p>
    <w:p>
      <w:pPr>
        <w:jc w:val="left"/>
      </w:pPr>
      <w:r>
        <w:rPr>
          <w:b/>
        </w:rPr>
        <w:t>Recommendation: P2 moves from "concede on eligibility" to "concede without qualification."</w:t>
      </w:r>
      <w:r>
        <w:t xml:space="preserve"> It was already the weakest project on the technical findings. It is now also the weakest on substantiation, and it is the one project where a document request would produce nothing at all.</w:t>
      </w:r>
    </w:p>
    <w:p/>
    <w:p>
      <w:r>
        <w:rPr>
          <w:b/>
          <w:color w:val="1F3864"/>
          <w:sz w:val="26"/>
        </w:rPr>
        <w:t>5. Contractors — better than we thought, but aimed at the wrong projects</w:t>
      </w:r>
    </w:p>
    <w:p>
      <w:pPr>
        <w:jc w:val="left"/>
      </w:pPr>
      <w:r>
        <w:t>Eight signed subcontractor agreements were provided, all with Canadian-incorporated suppliers: Vy Systems Canada Inc, XpertVantage Canada Inc, NextGen Consulting Inc, Pragra Incorporated, J &amp; M Group Inc, TechDoQuest Incorporated, SAPSOL Technologies Inc. Canada, and TES Contract Services Inc. Canadian incorporation goes directly to the taxable-supplier test we were most worried about, and the workbook names each subcontractor individual with their cost.</w:t>
      </w:r>
    </w:p>
    <w:p>
      <w:pPr>
        <w:jc w:val="left"/>
      </w:pPr>
      <w:r>
        <w:t xml:space="preserve">The problem is coverage. All nineteen invoices are tagged to Y.IN2100170 (P1) or Y.IN2201961 (P2) — the two projects we intend to concede. </w:t>
      </w:r>
      <w:r>
        <w:rPr>
          <w:b/>
        </w:rPr>
        <w:t>No invoice covers P3 through P6</w:t>
      </w:r>
      <w:r>
        <w:t>, whose $166,574 of contract cost is the portion we intend to contest. And the unexplained 0.65 factor applies across all of it.</w:t>
      </w:r>
    </w:p>
    <w:p/>
    <w:p>
      <w:r>
        <w:rPr>
          <w:b/>
          <w:color w:val="1F3864"/>
          <w:sz w:val="26"/>
        </w:rPr>
        <w:t>6. Two open items from the verification memo now close</w:t>
      </w:r>
    </w:p>
    <w:p>
      <w:pPr>
        <w:jc w:val="left"/>
      </w:pPr>
      <w:r>
        <w:rPr>
          <w:b/>
        </w:rPr>
        <w:t>Line 429, the $77,698.</w:t>
      </w:r>
      <w:r>
        <w:t xml:space="preserve"> The FY2023 ITC worksheet carries the annotation "77698 — Used on line 429??" beside the FY2023 ORDTC of $113,095. The preparer applied the figure and flagged it with a double question mark. It does not tie to the FY2023 ORDTC or to anything else in the file. This is an unresolved preparer uncertainty, not a derivation we failed to find. Do not raise it with CRA until it is understood.</w:t>
      </w:r>
    </w:p>
    <w:p>
      <w:pPr>
        <w:jc w:val="left"/>
      </w:pPr>
      <w:r>
        <w:rPr>
          <w:b/>
        </w:rPr>
        <w:t>The FY2023 basis.</w:t>
      </w:r>
      <w:r>
        <w:t xml:space="preserve"> The FY2023 worksheet confirms net eligible expenditures of $3,118,181.80 and a federal ITC of $467,727 at 15%. Our reverse-derivation of $3,118,180 from the credit was right to within two dollars, and the 15% rate assumption is confirmed for FY2023. The reassessed figure of $175,850 still requires the notice of reassessment — that document remains outstanding and remains the highest-value one.</w:t>
      </w:r>
    </w:p>
    <w:p/>
    <w:p>
      <w:r>
        <w:rPr>
          <w:b/>
          <w:color w:val="1F3864"/>
          <w:sz w:val="26"/>
        </w:rPr>
        <w:t>7. What this means for the strategy</w:t>
      </w:r>
    </w:p>
    <w:p>
      <w:pPr>
        <w:jc w:val="left"/>
      </w:pPr>
      <w:r>
        <w:t>The recovery ceiling of $250,795 is unchanged as arithmetic. What has changed is the work needed to reach any part of it, and the risk attached to trying.</w:t>
      </w:r>
    </w:p>
    <w:p>
      <w:pPr>
        <w:pStyle w:val="ListNumber"/>
      </w:pPr>
      <w:r>
        <w:rPr>
          <w:b/>
        </w:rPr>
        <w:t>We can answer the hours half of the May 7 request in full, for P3 to P7.</w:t>
      </w:r>
      <w:r>
        <w:t xml:space="preserve"> Per-employee monthly hours per project, from a system of record, reconciled to payroll. That is a real and deliverable improvement on the position CRA saw.</w:t>
      </w:r>
    </w:p>
    <w:p>
      <w:pPr>
        <w:pStyle w:val="ListNumber"/>
      </w:pPr>
      <w:r>
        <w:rPr>
          <w:b/>
        </w:rPr>
        <w:t>We cannot produce a contemporaneous SR&amp;ED/non-SR&amp;ED split, because none was ever made.</w:t>
      </w:r>
      <w:r>
        <w:t xml:space="preserve"> Any split we submit now is a present-day technical judgment applied to historic records. It must be presented as exactly that, honestly labelled, and supported by a defensible method — employee by employee, against what the work actually involved. It must not be presented as a record.</w:t>
      </w:r>
    </w:p>
    <w:p>
      <w:pPr>
        <w:pStyle w:val="ListNumber"/>
      </w:pPr>
      <w:r>
        <w:rPr>
          <w:b/>
        </w:rPr>
        <w:t>The 15% cannot be defended as a measurement, and should not be defended as one.</w:t>
      </w:r>
      <w:r>
        <w:t xml:space="preserve"> If a re-derived allocation supports something near 15% it will be because the technical review says so, not because the workbook said so. It may well come out lower.</w:t>
      </w:r>
    </w:p>
    <w:p>
      <w:pPr>
        <w:pStyle w:val="ListNumber"/>
      </w:pPr>
      <w:r>
        <w:rPr>
          <w:b/>
        </w:rPr>
        <w:t>The 50% on P7 needs its own justification.</w:t>
      </w:r>
      <w:r>
        <w:t xml:space="preserve"> P7 was our second-priority contest on the strength of being salary-only and outside the ruled-against Rogers pattern. Four employees at a flat 50% now needs to be specifically supportable, or P7 becomes a liability rather than an asset.</w:t>
      </w:r>
    </w:p>
    <w:p>
      <w:pPr>
        <w:pStyle w:val="ListNumber"/>
      </w:pPr>
      <w:r>
        <w:rPr>
          <w:b/>
        </w:rPr>
        <w:t>The narrative-versus-hours contradiction must be addressed before it is found.</w:t>
      </w:r>
      <w:r>
        <w:t xml:space="preserve"> Our representation should deal with it on our terms rather than wait for CRA to run the comparison.</w:t>
      </w:r>
    </w:p>
    <w:p/>
    <w:p>
      <w:r>
        <w:rPr>
          <w:b/>
          <w:color w:val="1F3864"/>
          <w:sz w:val="26"/>
        </w:rPr>
        <w:t>8. Recommended next steps</w:t>
      </w:r>
    </w:p>
    <w:p>
      <w:pPr>
        <w:pStyle w:val="ListNumber"/>
      </w:pPr>
      <w:r>
        <w:t>Put the flat-rate finding in front of the client immediately. It changes what can honestly be claimed, and it is not a decision Certainti should take alone.</w:t>
      </w:r>
    </w:p>
    <w:p>
      <w:pPr>
        <w:pStyle w:val="ListNumber"/>
      </w:pPr>
      <w:r>
        <w:t>Do not submit the timesheet extracts on their own. Without an allocation method they demonstrate the very defect CRA identified.</w:t>
      </w:r>
    </w:p>
    <w:p>
      <w:pPr>
        <w:pStyle w:val="ListNumber"/>
      </w:pPr>
      <w:r>
        <w:t>Commission a technical review to build a defensible allocation for P3, P4, P5, P6 and P7 — the specific work, the specific people, the specific periods. Scope it to P3 and P7 first; together they are 29.3% of the credits at stake and carry the cleanest fact patterns.</w:t>
      </w:r>
    </w:p>
    <w:p>
      <w:pPr>
        <w:pStyle w:val="ListNumber"/>
      </w:pPr>
      <w:r>
        <w:t>Retrieve subcontractor invoices for P3 to P6, and establish what the 0.65 factor represents.</w:t>
      </w:r>
    </w:p>
    <w:p>
      <w:pPr>
        <w:pStyle w:val="ListNumber"/>
      </w:pPr>
      <w:r>
        <w:t>Concede P2 without qualification. Concede P1 unless the artefact hunt succeeds.</w:t>
      </w:r>
    </w:p>
    <w:p>
      <w:pPr>
        <w:pStyle w:val="ListNumber"/>
      </w:pPr>
      <w:r>
        <w:t>Obtain the FY2023 notice of reassessment, still outstanding.</w:t>
      </w:r>
    </w:p>
    <w:p>
      <w:pPr>
        <w:pStyle w:val="ListNumber"/>
      </w:pPr>
      <w:r>
        <w:t>Have tax counsel review the narrative-versus-claim contradiction specifically, before anything is filed. Our engagement rules already bar us from restating the section 244 mechanisms; this memo adds a second reason to be careful about what we affirm.</w:t>
      </w:r>
    </w:p>
    <w:p>
      <w:r>
        <w:rPr>
          <w:color w:val="595959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595959"/>
          <w:sz w:val="18"/>
        </w:rPr>
        <w:t>Internal work product. Not legal or tax advice. The findings here are arithmetic and documentary; the characterisation of the allocation method and its consequences under the Income Tax Act should be confirmed by a Canadian SR&amp;ED practitioner or tax counsel before any filing.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