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pPr>
      <w:r>
        <w:rPr>
          <w:rFonts w:ascii="Aptos Display" w:hAnsi="Aptos Display"/>
          <w:b/>
          <w:i w:val="0"/>
          <w:color w:val="D9A441"/>
          <w:sz w:val="26"/>
        </w:rPr>
        <w:t>Propuesta de inspección técnica de vivienda</w:t>
      </w:r>
    </w:p>
    <w:tbl>
      <w:tblPr>
        <w:tblW w:type="dxa" w:w="10539"/>
        <w:tblLayout w:type="fixed"/>
        <w:tblLook w:firstColumn="1" w:firstRow="1" w:lastColumn="0" w:lastRow="0" w:noHBand="0" w:noVBand="1" w:val="04A0"/>
        <w:jc w:val="center"/>
        <w:tblBorders>
          <w:top w:val="single" w:sz="6" w:space="0" w:color="D8DEE8"/>
          <w:start w:val="single" w:sz="6" w:space="0" w:color="D8DEE8"/>
          <w:bottom w:val="single" w:sz="6" w:space="0" w:color="D8DEE8"/>
          <w:end w:val="single" w:sz="6" w:space="0" w:color="D8DEE8"/>
          <w:insideH w:val="single" w:sz="6" w:space="0" w:color="D8DEE8"/>
          <w:insideV w:val="single" w:sz="6" w:space="0" w:color="D8DEE8"/>
        </w:tblBorders>
      </w:tblPr>
      <w:tblGrid>
        <w:gridCol w:w="1604"/>
        <w:gridCol w:w="3666"/>
        <w:gridCol w:w="1604"/>
        <w:gridCol w:w="3666"/>
      </w:tblGrid>
      <w:tr>
        <w:trPr>
          <w:cantSplit/>
        </w:trPr>
        <w:tc>
          <w:tcPr>
            <w:tcW w:type="dxa" w:w="1604"/>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shd w:fill="FFFFFF" w:val="clear"/>
            <w:vAlign w:val="center"/>
          </w:tcPr>
          <w:p>
            <w:pPr>
              <w:spacing w:before="0" w:after="0" w:line="240" w:lineRule="auto"/>
              <w:jc w:val="left"/>
            </w:pPr>
            <w:r>
              <w:rPr>
                <w:rFonts w:ascii="Aptos" w:hAnsi="Aptos"/>
                <w:b/>
                <w:i w:val="0"/>
                <w:color w:val="071827"/>
                <w:sz w:val="18"/>
                <w:szCs w:val="18"/>
              </w:rPr>
              <w:t>Folio</w:t>
            </w:r>
          </w:p>
        </w:tc>
        <w:tc>
          <w:tcPr>
            <w:tcW w:type="dxa" w:w="3666"/>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vAlign w:val="center"/>
            <w:shd w:fill="FFFFFF" w:val="clear"/>
          </w:tcPr>
          <w:p>
            <w:pPr>
              <w:spacing w:before="0" w:after="0" w:line="240" w:lineRule="auto"/>
              <w:jc w:val="left"/>
            </w:pPr>
            <w:r>
              <w:rPr>
                <w:rFonts w:ascii="Aptos" w:hAnsi="Aptos"/>
                <w:b w:val="0"/>
                <w:i w:val="0"/>
                <w:color w:val="17202A"/>
                <w:sz w:val="18"/>
                <w:szCs w:val="18"/>
              </w:rPr>
              <w:t>CH-COT-2026-4D0966B2</w:t>
            </w:r>
          </w:p>
        </w:tc>
        <w:tc>
          <w:tcPr>
            <w:tcW w:type="dxa" w:w="1604"/>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shd w:fill="FFFFFF" w:val="clear"/>
            <w:vAlign w:val="center"/>
          </w:tcPr>
          <w:p>
            <w:pPr>
              <w:spacing w:before="0" w:after="0" w:line="240" w:lineRule="auto"/>
              <w:jc w:val="left"/>
            </w:pPr>
            <w:r>
              <w:rPr>
                <w:rFonts w:ascii="Aptos" w:hAnsi="Aptos"/>
                <w:b/>
                <w:i w:val="0"/>
                <w:color w:val="071827"/>
                <w:sz w:val="18"/>
                <w:szCs w:val="18"/>
              </w:rPr>
              <w:t>Fecha de emisión</w:t>
            </w:r>
          </w:p>
        </w:tc>
        <w:tc>
          <w:tcPr>
            <w:tcW w:type="dxa" w:w="3666"/>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vAlign w:val="center"/>
            <w:shd w:fill="FFFFFF" w:val="clear"/>
          </w:tcPr>
          <w:p>
            <w:pPr>
              <w:spacing w:before="0" w:after="0" w:line="240" w:lineRule="auto"/>
              <w:jc w:val="left"/>
            </w:pPr>
            <w:r>
              <w:rPr>
                <w:rFonts w:ascii="Aptos" w:hAnsi="Aptos"/>
                <w:b w:val="0"/>
                <w:i w:val="0"/>
                <w:color w:val="17202A"/>
                <w:sz w:val="18"/>
                <w:szCs w:val="18"/>
              </w:rPr>
              <w:t>09/09/2026</w:t>
            </w:r>
          </w:p>
        </w:tc>
      </w:tr>
      <w:tr>
        <w:trPr>
          <w:cantSplit/>
        </w:trPr>
        <w:tc>
          <w:tcPr>
            <w:tcW w:type="dxa" w:w="1604"/>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shd w:fill="FFFFFF" w:val="clear"/>
            <w:vAlign w:val="center"/>
          </w:tcPr>
          <w:p>
            <w:pPr>
              <w:spacing w:before="0" w:after="0" w:line="240" w:lineRule="auto"/>
              <w:jc w:val="left"/>
            </w:pPr>
            <w:r>
              <w:rPr>
                <w:rFonts w:ascii="Aptos" w:hAnsi="Aptos"/>
                <w:b/>
                <w:i w:val="0"/>
                <w:color w:val="071827"/>
                <w:sz w:val="18"/>
                <w:szCs w:val="18"/>
              </w:rPr>
              <w:t>Vigencia</w:t>
            </w:r>
          </w:p>
        </w:tc>
        <w:tc>
          <w:tcPr>
            <w:tcW w:type="dxa" w:w="3666"/>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vAlign w:val="center"/>
            <w:shd w:fill="FFFFFF" w:val="clear"/>
          </w:tcPr>
          <w:p>
            <w:pPr>
              <w:spacing w:before="0" w:after="0" w:line="240" w:lineRule="auto"/>
              <w:jc w:val="left"/>
            </w:pPr>
            <w:r>
              <w:rPr>
                <w:rFonts w:ascii="Aptos" w:hAnsi="Aptos"/>
                <w:b w:val="0"/>
                <w:i w:val="0"/>
                <w:color w:val="17202A"/>
                <w:sz w:val="18"/>
                <w:szCs w:val="18"/>
              </w:rPr>
              <w:t>15 días</w:t>
            </w:r>
          </w:p>
        </w:tc>
        <w:tc>
          <w:tcPr>
            <w:tcW w:type="dxa" w:w="1604"/>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shd w:fill="FFFFFF" w:val="clear"/>
            <w:vAlign w:val="center"/>
          </w:tcPr>
          <w:p>
            <w:pPr>
              <w:spacing w:before="0" w:after="0" w:line="240" w:lineRule="auto"/>
              <w:jc w:val="left"/>
            </w:pPr>
            <w:r>
              <w:rPr>
                <w:rFonts w:ascii="Aptos" w:hAnsi="Aptos"/>
                <w:b/>
                <w:i w:val="0"/>
                <w:color w:val="071827"/>
                <w:sz w:val="18"/>
                <w:szCs w:val="18"/>
              </w:rPr>
              <w:t>Responsable</w:t>
            </w:r>
          </w:p>
        </w:tc>
        <w:tc>
          <w:tcPr>
            <w:tcW w:type="dxa" w:w="3666"/>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vAlign w:val="center"/>
            <w:shd w:fill="FFFFFF" w:val="clear"/>
          </w:tcPr>
          <w:p>
            <w:pPr>
              <w:spacing w:before="0" w:after="0" w:line="240" w:lineRule="auto"/>
              <w:jc w:val="left"/>
            </w:pPr>
            <w:r>
              <w:rPr>
                <w:rFonts w:ascii="Aptos" w:hAnsi="Aptos"/>
                <w:b w:val="0"/>
                <w:i w:val="0"/>
                <w:color w:val="17202A"/>
                <w:sz w:val="18"/>
                <w:szCs w:val="18"/>
              </w:rPr>
              <w:t>Área de Cotizaciones</w:t>
            </w:r>
          </w:p>
        </w:tc>
      </w:tr>
    </w:tbl>
    <w:p>
      <w:pPr>
        <w:keepNext/>
        <w:spacing w:before="160" w:after="100"/>
      </w:pPr>
      <w:r>
        <w:rPr>
          <w:rFonts w:ascii="Aptos Display" w:hAnsi="Aptos Display"/>
          <w:b/>
          <w:i w:val="0"/>
          <w:color w:val="071827"/>
          <w:sz w:val="25"/>
        </w:rPr>
        <w:t>1. DATOS DEL CLIENTE E INMUEBLE</w:t>
      </w:r>
    </w:p>
    <w:tbl>
      <w:tblPr>
        <w:tblW w:type="dxa" w:w="10539"/>
        <w:tblLayout w:type="fixed"/>
        <w:tblLook w:firstColumn="1" w:firstRow="1" w:lastColumn="0" w:lastRow="0" w:noHBand="0" w:noVBand="1" w:val="04A0"/>
        <w:jc w:val="center"/>
        <w:tblBorders>
          <w:top w:val="single" w:sz="6" w:space="0" w:color="D8DEE8"/>
          <w:start w:val="single" w:sz="6" w:space="0" w:color="D8DEE8"/>
          <w:bottom w:val="single" w:sz="6" w:space="0" w:color="D8DEE8"/>
          <w:end w:val="single" w:sz="6" w:space="0" w:color="D8DEE8"/>
          <w:insideH w:val="single" w:sz="6" w:space="0" w:color="D8DEE8"/>
          <w:insideV w:val="single" w:sz="6" w:space="0" w:color="D8DEE8"/>
        </w:tblBorders>
      </w:tblPr>
      <w:tblGrid>
        <w:gridCol w:w="1882"/>
        <w:gridCol w:w="3086"/>
        <w:gridCol w:w="1731"/>
        <w:gridCol w:w="3839"/>
      </w:tblGrid>
      <w:tr>
        <w:trPr>
          <w:cantSplit/>
        </w:trPr>
        <w:tc>
          <w:tcPr>
            <w:tcW w:type="dxa" w:w="1882"/>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shd w:fill="FFFFFF" w:val="clear"/>
            <w:vAlign w:val="center"/>
          </w:tcPr>
          <w:p>
            <w:pPr>
              <w:spacing w:before="0" w:after="0" w:line="240" w:lineRule="auto"/>
              <w:jc w:val="left"/>
            </w:pPr>
            <w:r>
              <w:rPr>
                <w:rFonts w:ascii="Aptos" w:hAnsi="Aptos"/>
                <w:b/>
                <w:i w:val="0"/>
                <w:color w:val="071827"/>
                <w:sz w:val="18"/>
                <w:szCs w:val="18"/>
              </w:rPr>
              <w:t>Cliente</w:t>
            </w:r>
          </w:p>
        </w:tc>
        <w:tc>
          <w:tcPr>
            <w:tcW w:type="dxa" w:w="3086"/>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vAlign w:val="center"/>
            <w:shd w:fill="FFFFFF" w:val="clear"/>
          </w:tcPr>
          <w:p>
            <w:pPr>
              <w:spacing w:before="0" w:after="0" w:line="240" w:lineRule="auto"/>
              <w:jc w:val="left"/>
            </w:pPr>
            <w:r>
              <w:rPr>
                <w:rFonts w:ascii="Aptos" w:hAnsi="Aptos"/>
                <w:b w:val="0"/>
                <w:i w:val="0"/>
                <w:color w:val="17202A"/>
                <w:sz w:val="18"/>
                <w:szCs w:val="18"/>
              </w:rPr>
              <w:t>Nubia Gandara</w:t>
            </w:r>
          </w:p>
        </w:tc>
        <w:tc>
          <w:tcPr>
            <w:tcW w:type="dxa" w:w="1731"/>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shd w:fill="FFFFFF" w:val="clear"/>
            <w:vAlign w:val="center"/>
          </w:tcPr>
          <w:p>
            <w:pPr>
              <w:spacing w:before="0" w:after="0" w:line="240" w:lineRule="auto"/>
              <w:jc w:val="left"/>
            </w:pPr>
            <w:r>
              <w:rPr>
                <w:rFonts w:ascii="Aptos" w:hAnsi="Aptos"/>
                <w:b/>
                <w:i w:val="0"/>
                <w:color w:val="071827"/>
                <w:sz w:val="18"/>
                <w:szCs w:val="18"/>
              </w:rPr>
              <w:t>Teléfono</w:t>
            </w:r>
          </w:p>
        </w:tc>
        <w:tc>
          <w:tcPr>
            <w:tcW w:type="dxa" w:w="3839"/>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vAlign w:val="center"/>
            <w:shd w:fill="FFFFFF" w:val="clear"/>
          </w:tcPr>
          <w:p>
            <w:pPr>
              <w:spacing w:before="0" w:after="0" w:line="240" w:lineRule="auto"/>
              <w:jc w:val="left"/>
            </w:pPr>
            <w:r>
              <w:rPr>
                <w:rFonts w:ascii="Aptos" w:hAnsi="Aptos"/>
                <w:b w:val="0"/>
                <w:i w:val="0"/>
                <w:color w:val="17202A"/>
                <w:sz w:val="18"/>
                <w:szCs w:val="18"/>
              </w:rPr>
              <w:t>6566750389</w:t>
            </w:r>
          </w:p>
        </w:tc>
      </w:tr>
      <w:tr>
        <w:trPr>
          <w:cantSplit/>
        </w:trPr>
        <w:tc>
          <w:tcPr>
            <w:tcW w:type="dxa" w:w="1882"/>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shd w:fill="FFFFFF" w:val="clear"/>
            <w:vAlign w:val="center"/>
          </w:tcPr>
          <w:p>
            <w:pPr>
              <w:spacing w:before="0" w:after="0" w:line="240" w:lineRule="auto"/>
              <w:jc w:val="left"/>
            </w:pPr>
            <w:r>
              <w:rPr>
                <w:rFonts w:ascii="Aptos" w:hAnsi="Aptos"/>
                <w:b/>
                <w:i w:val="0"/>
                <w:color w:val="071827"/>
                <w:sz w:val="18"/>
                <w:szCs w:val="18"/>
              </w:rPr>
              <w:t>Correo</w:t>
            </w:r>
          </w:p>
        </w:tc>
        <w:tc>
          <w:tcPr>
            <w:tcW w:type="dxa" w:w="3086"/>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vAlign w:val="center"/>
            <w:shd w:fill="FFFFFF" w:val="clear"/>
          </w:tcPr>
          <w:p>
            <w:pPr>
              <w:spacing w:before="0" w:after="0" w:line="240" w:lineRule="auto"/>
              <w:jc w:val="left"/>
            </w:pPr>
            <w:r>
              <w:rPr>
                <w:rFonts w:ascii="Aptos" w:hAnsi="Aptos"/>
                <w:b w:val="0"/>
                <w:i w:val="0"/>
                <w:color w:val="17202A"/>
                <w:sz w:val="18"/>
                <w:szCs w:val="18"/>
              </w:rPr>
              <w:t>anabelsapiensa@gmail.com</w:t>
            </w:r>
          </w:p>
        </w:tc>
        <w:tc>
          <w:tcPr>
            <w:tcW w:type="dxa" w:w="1731"/>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shd w:fill="FFFFFF" w:val="clear"/>
            <w:vAlign w:val="center"/>
          </w:tcPr>
          <w:p>
            <w:pPr>
              <w:spacing w:before="0" w:after="0" w:line="240" w:lineRule="auto"/>
              <w:jc w:val="left"/>
            </w:pPr>
            <w:r>
              <w:rPr>
                <w:rFonts w:ascii="Aptos" w:hAnsi="Aptos"/>
                <w:b/>
                <w:i w:val="0"/>
                <w:color w:val="071827"/>
                <w:sz w:val="18"/>
                <w:szCs w:val="18"/>
              </w:rPr>
              <w:t>Tipo de cliente</w:t>
            </w:r>
          </w:p>
        </w:tc>
        <w:tc>
          <w:tcPr>
            <w:tcW w:type="dxa" w:w="3839"/>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vAlign w:val="center"/>
            <w:shd w:fill="FFFFFF" w:val="clear"/>
          </w:tcPr>
          <w:p>
            <w:pPr>
              <w:spacing w:before="0" w:after="0" w:line="240" w:lineRule="auto"/>
              <w:jc w:val="left"/>
            </w:pPr>
            <w:r>
              <w:rPr>
                <w:rFonts w:ascii="Aptos" w:hAnsi="Aptos"/>
                <w:b w:val="0"/>
                <w:i w:val="0"/>
                <w:color w:val="17202A"/>
                <w:sz w:val="18"/>
                <w:szCs w:val="18"/>
              </w:rPr>
              <w:t>PARTICULAR</w:t>
            </w:r>
          </w:p>
        </w:tc>
      </w:tr>
      <w:tr>
        <w:trPr>
          <w:cantSplit/>
        </w:trPr>
        <w:tc>
          <w:tcPr>
            <w:tcW w:type="dxa" w:w="1882"/>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shd w:fill="FFFFFF" w:val="clear"/>
            <w:vAlign w:val="center"/>
          </w:tcPr>
          <w:p>
            <w:pPr>
              <w:spacing w:before="0" w:after="0" w:line="240" w:lineRule="auto"/>
              <w:jc w:val="left"/>
            </w:pPr>
            <w:r>
              <w:rPr>
                <w:rFonts w:ascii="Aptos" w:hAnsi="Aptos"/>
                <w:b/>
                <w:i w:val="0"/>
                <w:color w:val="071827"/>
                <w:sz w:val="18"/>
                <w:szCs w:val="18"/>
              </w:rPr>
              <w:t>Inmueble</w:t>
            </w:r>
          </w:p>
        </w:tc>
        <w:tc>
          <w:tcPr>
            <w:tcW w:type="dxa" w:w="3086"/>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vAlign w:val="center"/>
            <w:shd w:fill="FFFFFF" w:val="clear"/>
          </w:tcPr>
          <w:p>
            <w:pPr>
              <w:spacing w:before="0" w:after="0" w:line="240" w:lineRule="auto"/>
              <w:jc w:val="left"/>
            </w:pPr>
            <w:r>
              <w:rPr>
                <w:rFonts w:ascii="Aptos" w:hAnsi="Aptos"/>
                <w:b w:val="0"/>
                <w:i w:val="0"/>
                <w:color w:val="17202A"/>
                <w:sz w:val="18"/>
                <w:szCs w:val="18"/>
              </w:rPr>
              <w:t>Paseo Detroit 1030 topcio</w:t>
            </w:r>
          </w:p>
        </w:tc>
        <w:tc>
          <w:tcPr>
            <w:tcW w:type="dxa" w:w="1731"/>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shd w:fill="FFFFFF" w:val="clear"/>
            <w:vAlign w:val="center"/>
          </w:tcPr>
          <w:p>
            <w:pPr>
              <w:spacing w:before="0" w:after="0" w:line="240" w:lineRule="auto"/>
              <w:jc w:val="left"/>
            </w:pPr>
            <w:r>
              <w:rPr>
                <w:rFonts w:ascii="Aptos" w:hAnsi="Aptos"/>
                <w:b/>
                <w:i w:val="0"/>
                <w:color w:val="071827"/>
                <w:sz w:val="18"/>
                <w:szCs w:val="18"/>
              </w:rPr>
              <w:t>Ciudad</w:t>
            </w:r>
          </w:p>
        </w:tc>
        <w:tc>
          <w:tcPr>
            <w:tcW w:type="dxa" w:w="3839"/>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vAlign w:val="center"/>
            <w:shd w:fill="FFFFFF" w:val="clear"/>
          </w:tcPr>
          <w:p>
            <w:pPr>
              <w:spacing w:before="0" w:after="0" w:line="240" w:lineRule="auto"/>
              <w:jc w:val="left"/>
            </w:pPr>
            <w:r>
              <w:rPr>
                <w:rFonts w:ascii="Aptos" w:hAnsi="Aptos"/>
                <w:b w:val="0"/>
                <w:i w:val="0"/>
                <w:color w:val="17202A"/>
                <w:sz w:val="18"/>
                <w:szCs w:val="18"/>
              </w:rPr>
              <w:t>juarez</w:t>
            </w:r>
          </w:p>
        </w:tc>
      </w:tr>
      <w:tr>
        <w:trPr>
          <w:cantSplit/>
        </w:trPr>
        <w:tc>
          <w:tcPr>
            <w:tcW w:type="dxa" w:w="1882"/>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shd w:fill="FFFFFF" w:val="clear"/>
            <w:vAlign w:val="center"/>
          </w:tcPr>
          <w:p>
            <w:r>
              <w:rPr>
                <w:b/>
                <w:sz w:val="18"/>
                <w:szCs w:val="18"/>
              </w:rPr>
              <w:t>Superficies</w:t>
            </w:r>
          </w:p>
        </w:tc>
        <w:tc>
          <w:tcPr>
            <w:tcW w:type="dxa" w:w="3086"/>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vAlign w:val="center"/>
            <w:shd w:fill="FFFFFF" w:val="clear"/>
          </w:tcPr>
          <w:p>
            <w:r>
              <w:rPr>
                <w:sz w:val="18"/>
                <w:szCs w:val="18"/>
              </w:rPr>
              <w:t>Terreno: 120 m² · Construcción: 132 m²</w:t>
            </w:r>
          </w:p>
        </w:tc>
        <w:tc>
          <w:tcPr>
            <w:tcW w:type="dxa" w:w="1731"/>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shd w:fill="FFFFFF" w:val="clear"/>
            <w:vAlign w:val="center"/>
          </w:tcPr>
          <w:p>
            <w:pPr>
              <w:spacing w:before="0" w:after="0" w:line="240" w:lineRule="auto"/>
              <w:jc w:val="left"/>
            </w:pPr>
            <w:r>
              <w:rPr>
                <w:rFonts w:ascii="Aptos" w:hAnsi="Aptos"/>
                <w:b/>
                <w:i w:val="0"/>
                <w:color w:val="071827"/>
                <w:sz w:val="18"/>
                <w:szCs w:val="18"/>
              </w:rPr>
              <w:t>Niveles / distribución</w:t>
            </w:r>
          </w:p>
        </w:tc>
        <w:tc>
          <w:tcPr>
            <w:tcW w:type="dxa" w:w="3839"/>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vAlign w:val="center"/>
            <w:shd w:fill="FFFFFF" w:val="clear"/>
          </w:tcPr>
          <w:p>
            <w:r>
              <w:rPr>
                <w:sz w:val="18"/>
                <w:szCs w:val="18"/>
              </w:rPr>
              <w:t>2 niveles · 3 recámaras · 1 baño completo + 1 medio baño</w:t>
            </w:r>
          </w:p>
        </w:tc>
      </w:tr>
    </w:tbl>
    <w:p>
      <w:pPr>
        <w:keepNext/>
        <w:spacing w:before="160" w:after="100"/>
      </w:pPr>
      <w:r>
        <w:rPr>
          <w:rFonts w:ascii="Aptos Display" w:hAnsi="Aptos Display"/>
          <w:b/>
          <w:color w:val="071827"/>
          <w:sz w:val="25"/>
        </w:rPr>
        <w:t>2. ÁREAS Y CARACTERÍSTICAS DECLARADAS POR EL CLIENTE</w:t>
      </w:r>
    </w:p>
    <w:p>
      <w:pPr>
        <w:spacing w:after="100" w:line="259" w:lineRule="auto"/>
      </w:pPr>
      <w:r>
        <w:rPr>
          <w:rFonts w:ascii="Aptos" w:hAnsi="Aptos"/>
          <w:color w:val="17202A"/>
          <w:sz w:val="20"/>
        </w:rPr>
        <w:t>La información de esta sección reproduce los datos proporcionados por el cliente en su solicitud. Se conserva como antecedente de la cotización y no puede modificarse desde este documento.</w:t>
      </w:r>
    </w:p>
    <w:tbl>
      <w:tblPr>
        <w:tblW w:type="dxa" w:w="10539"/>
        <w:tblLayout w:type="fixed"/>
        <w:tblLook w:firstColumn="1" w:firstRow="1" w:lastColumn="0" w:lastRow="0" w:noHBand="0" w:noVBand="1" w:val="04A0"/>
        <w:jc w:val="center"/>
        <w:tblBorders>
          <w:top w:val="single" w:sz="6" w:space="0" w:color="D8DEE8"/>
          <w:start w:val="single" w:sz="6" w:space="0" w:color="D8DEE8"/>
          <w:bottom w:val="single" w:sz="6" w:space="0" w:color="D8DEE8"/>
          <w:end w:val="single" w:sz="6" w:space="0" w:color="D8DEE8"/>
          <w:insideH w:val="single" w:sz="6" w:space="0" w:color="D8DEE8"/>
          <w:insideV w:val="single" w:sz="6" w:space="0" w:color="D8DEE8"/>
        </w:tblBorders>
      </w:tblPr>
      <w:tblGrid>
        <w:gridCol w:w="2449"/>
        <w:gridCol w:w="8090"/>
      </w:tblGrid>
      <w:tr>
        <w:trPr>
          <w:cantSplit/>
        </w:trPr>
        <w:tc>
          <w:tcPr>
            <w:tcW w:type="dxa" w:w="2449"/>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after="0" w:before="0" w:line="240" w:lineRule="auto"/>
              <w:jc w:val="left"/>
            </w:pPr>
            <w:r>
              <w:rPr>
                <w:rFonts w:ascii="Aptos" w:hAnsi="Aptos"/>
                <w:b/>
                <w:color w:val="071827"/>
                <w:sz w:val="18"/>
                <w:szCs w:val="18"/>
              </w:rPr>
              <w:t>Áreas declaradas</w:t>
            </w:r>
          </w:p>
        </w:tc>
        <w:tc>
          <w:tcPr>
            <w:tcW w:type="dxa" w:w="8090"/>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after="0" w:before="0" w:line="240" w:lineRule="auto"/>
              <w:jc w:val="left"/>
            </w:pPr>
            <w:r>
              <w:rPr>
                <w:rFonts w:ascii="Aptos" w:hAnsi="Aptos"/>
                <w:b w:val="0"/>
                <w:color w:val="17202A"/>
                <w:sz w:val="18"/>
                <w:szCs w:val="18"/>
              </w:rPr>
              <w:t>Cocina · Sala · Comedor · Área de lavado · Lavadero · Cochera · Patio · Cuarto de servicio</w:t>
            </w:r>
          </w:p>
        </w:tc>
      </w:tr>
      <w:tr>
        <w:trPr>
          <w:cantSplit/>
        </w:trPr>
        <w:tc>
          <w:tcPr>
            <w:tcW w:type="dxa" w:w="2449"/>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after="0" w:before="0" w:line="240" w:lineRule="auto"/>
              <w:jc w:val="left"/>
            </w:pPr>
            <w:r>
              <w:rPr>
                <w:rFonts w:ascii="Aptos" w:hAnsi="Aptos"/>
                <w:b/>
                <w:color w:val="071827"/>
                <w:sz w:val="18"/>
                <w:szCs w:val="18"/>
              </w:rPr>
              <w:t>Otros espacios / características</w:t>
            </w:r>
          </w:p>
        </w:tc>
        <w:tc>
          <w:tcPr>
            <w:tcW w:type="dxa" w:w="8090"/>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after="0" w:before="0" w:line="240" w:lineRule="auto"/>
              <w:jc w:val="left"/>
            </w:pPr>
            <w:r>
              <w:rPr>
                <w:rFonts w:ascii="Aptos" w:hAnsi="Aptos"/>
                <w:b w:val="0"/>
                <w:color w:val="17202A"/>
                <w:sz w:val="18"/>
                <w:szCs w:val="18"/>
              </w:rPr>
              <w:t>No se declararon otros espacios o características.</w:t>
            </w:r>
          </w:p>
        </w:tc>
      </w:tr>
      <w:tr>
        <w:trPr>
          <w:cantSplit/>
        </w:trPr>
        <w:tc>
          <w:tcPr>
            <w:tcW w:type="dxa" w:w="2449"/>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after="0" w:before="0" w:line="240" w:lineRule="auto"/>
              <w:jc w:val="left"/>
            </w:pPr>
            <w:r>
              <w:rPr>
                <w:rFonts w:ascii="Aptos" w:hAnsi="Aptos"/>
                <w:b/>
                <w:color w:val="071827"/>
                <w:sz w:val="18"/>
                <w:szCs w:val="18"/>
              </w:rPr>
              <w:t>Comentarios del cliente</w:t>
            </w:r>
          </w:p>
        </w:tc>
        <w:tc>
          <w:tcPr>
            <w:tcW w:type="dxa" w:w="8090"/>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after="0" w:before="0" w:line="240" w:lineRule="auto"/>
              <w:jc w:val="left"/>
            </w:pPr>
            <w:r>
              <w:rPr>
                <w:rFonts w:ascii="Aptos" w:hAnsi="Aptos"/>
                <w:b w:val="0"/>
                <w:color w:val="17202A"/>
                <w:sz w:val="18"/>
                <w:szCs w:val="18"/>
              </w:rPr>
              <w:t>Sin comentarios adicionales.</w:t>
            </w:r>
          </w:p>
        </w:tc>
      </w:tr>
      <w:tr>
        <w:trPr>
          <w:cantSplit/>
        </w:trPr>
        <w:tc>
          <w:tcPr>
            <w:tcW w:type="dxa" w:w="2449"/>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after="0" w:before="0" w:line="240" w:lineRule="auto"/>
              <w:jc w:val="left"/>
            </w:pPr>
            <w:r>
              <w:rPr>
                <w:rFonts w:ascii="Aptos" w:hAnsi="Aptos"/>
                <w:b/>
                <w:color w:val="071827"/>
                <w:sz w:val="18"/>
                <w:szCs w:val="18"/>
              </w:rPr>
              <w:t>Fuente del dato</w:t>
            </w:r>
          </w:p>
        </w:tc>
        <w:tc>
          <w:tcPr>
            <w:tcW w:type="dxa" w:w="8090"/>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after="0" w:before="0" w:line="240" w:lineRule="auto"/>
              <w:jc w:val="left"/>
            </w:pPr>
            <w:r>
              <w:rPr>
                <w:rFonts w:ascii="Aptos" w:hAnsi="Aptos"/>
                <w:b w:val="0"/>
                <w:color w:val="17202A"/>
                <w:sz w:val="18"/>
                <w:szCs w:val="18"/>
              </w:rPr>
              <w:t>Solicitud enviada desde certezahabitacional.com/cotizar · 09/09/2026</w:t>
            </w:r>
          </w:p>
        </w:tc>
      </w:tr>
    </w:tbl>
    <w:p>
      <w:pPr>
        <w:spacing w:after="100" w:line="259" w:lineRule="auto"/>
      </w:pPr>
      <w:r>
        <w:rPr>
          <w:rFonts w:ascii="Aptos" w:hAnsi="Aptos"/>
          <w:color w:val="17202A"/>
          <w:sz w:val="20"/>
        </w:rPr>
        <w:br w:type="page"/>
      </w:r>
    </w:p>
    <w:p>
      <w:pPr>
        <w:pageBreakBefore/>
        <w:spacing w:before="160" w:after="100"/>
        <w:keepNext/>
      </w:pPr>
      <w:r>
        <w:rPr>
          <w:rFonts w:ascii="Aptos Display" w:hAnsi="Aptos Display"/>
          <w:b/>
          <w:color w:val="071827"/>
          <w:sz w:val="25"/>
        </w:rPr>
        <w:t>3. QUÉ INCLUYE LA INSPECCIÓN</w:t>
      </w:r>
    </w:p>
    <w:p>
      <w:pPr>
        <w:keepNext/>
        <w:spacing w:after="100" w:line="259" w:lineRule="auto"/>
      </w:pPr>
      <w:r>
        <w:rPr>
          <w:rFonts w:ascii="Aptos" w:hAnsi="Aptos"/>
          <w:b w:val="0"/>
          <w:color w:val="17202A"/>
          <w:sz w:val="20"/>
        </w:rPr>
        <w:t>La inspección cubre las áreas declaradas por el cliente que existan en el inmueble y se encuentren accesibles y seguras al momento de la visita. La cobertura siguiente describe las actividades estándar de revisión; no depende del equipo instrumental seleccionado y no modifica el precio de la propuesta.</w:t>
      </w:r>
    </w:p>
    <w:tbl>
      <w:tblPr>
        <w:tblW w:type="dxa" w:w="10539"/>
        <w:tblLayout w:type="fixed"/>
        <w:tblLook w:firstColumn="1" w:firstRow="1" w:lastColumn="0" w:lastRow="0" w:noHBand="0" w:noVBand="1" w:val="04A0"/>
        <w:jc w:val="center"/>
        <w:tblBorders>
          <w:top w:val="single" w:sz="6" w:space="0" w:color="D8DEE8"/>
          <w:start w:val="single" w:sz="6" w:space="0" w:color="D8DEE8"/>
          <w:bottom w:val="single" w:sz="6" w:space="0" w:color="D8DEE8"/>
          <w:end w:val="single" w:sz="6" w:space="0" w:color="D8DEE8"/>
          <w:insideH w:val="single" w:sz="6" w:space="0" w:color="D8DEE8"/>
          <w:insideV w:val="single" w:sz="6" w:space="0" w:color="D8DEE8"/>
        </w:tblBorders>
      </w:tblPr>
      <w:tblGrid>
        <w:gridCol w:w="5270"/>
        <w:gridCol w:w="5270"/>
      </w:tblGrid>
      <w:tr>
        <w:trPr>
          <w:tblHeader w:val="true"/>
          <w:tblHeader w:val="true"/>
          <w:cantSplit w:val="1"/>
          <w:tblHeader w:val="true"/>
          <w:tblHeader w:val="true"/>
        </w:trPr>
        <w:tc>
          <w:tcPr>
            <w:tcW w:type="dxa" w:w="5270"/>
            <w:shd w:fill="D9A52E" w:val="clear"/>
            <w:vAlign w:val="center"/>
            <w:tcMar>
              <w:top w:w="90" w:type="dxa"/>
              <w:start w:w="110" w:type="dxa"/>
              <w:bottom w:w="90" w:type="dxa"/>
              <w:end w:w="110" w:type="dxa"/>
            </w:tcMar>
            <w:tcBorders>
              <w:top w:val="single" w:sz="5" w:space="0" w:color="071827"/>
              <w:left w:val="single" w:sz="5" w:space="0" w:color="071827"/>
              <w:bottom w:val="single" w:sz="5" w:space="0" w:color="071827"/>
              <w:right w:val="single" w:sz="5" w:space="0" w:color="071827"/>
              <w:insideH w:val="single" w:sz="5" w:space="0" w:color="071827"/>
              <w:insideV w:val="single" w:sz="5" w:space="0" w:color="071827"/>
            </w:tcBorders>
          </w:tcPr>
          <w:p>
            <w:pPr>
              <w:spacing w:before="0" w:after="0" w:line="240" w:lineRule="auto"/>
              <w:jc w:val="left"/>
            </w:pPr>
            <w:r>
              <w:rPr>
                <w:rFonts w:ascii="Aptos" w:hAnsi="Aptos"/>
                <w:b/>
                <w:color w:val="071827"/>
                <w:sz w:val="18"/>
                <w:szCs w:val="18"/>
              </w:rPr>
              <w:t>Área / sistema</w:t>
            </w:r>
          </w:p>
        </w:tc>
        <w:tc>
          <w:tcPr>
            <w:tcW w:type="dxa" w:w="5270"/>
            <w:shd w:fill="D9A52E" w:val="clear"/>
            <w:vAlign w:val="center"/>
            <w:tcMar>
              <w:top w:w="90" w:type="dxa"/>
              <w:start w:w="110" w:type="dxa"/>
              <w:bottom w:w="90" w:type="dxa"/>
              <w:end w:w="110" w:type="dxa"/>
            </w:tcMar>
            <w:tcBorders>
              <w:top w:val="single" w:sz="5" w:space="0" w:color="071827"/>
              <w:left w:val="single" w:sz="5" w:space="0" w:color="071827"/>
              <w:bottom w:val="single" w:sz="5" w:space="0" w:color="071827"/>
              <w:right w:val="single" w:sz="5" w:space="0" w:color="071827"/>
              <w:insideH w:val="single" w:sz="5" w:space="0" w:color="071827"/>
              <w:insideV w:val="single" w:sz="5" w:space="0" w:color="071827"/>
            </w:tcBorders>
          </w:tcPr>
          <w:p>
            <w:pPr>
              <w:spacing w:before="0" w:after="0" w:line="240" w:lineRule="auto"/>
              <w:jc w:val="left"/>
            </w:pPr>
            <w:r>
              <w:rPr>
                <w:rFonts w:ascii="Aptos" w:hAnsi="Aptos"/>
                <w:b/>
                <w:color w:val="071827"/>
                <w:sz w:val="18"/>
                <w:szCs w:val="18"/>
              </w:rPr>
              <w:t>Actividades incluidas</w:t>
            </w:r>
          </w:p>
        </w:tc>
      </w:tr>
      <w:tr>
        <w:trPr>
          <w:cantSplit w:val="1"/>
        </w:trPr>
        <w:tc>
          <w:tcPr>
            <w:tcW w:type="dxa" w:w="5270"/>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line="240" w:lineRule="auto"/>
              <w:jc w:val="left"/>
            </w:pPr>
            <w:r>
              <w:rPr>
                <w:rFonts w:ascii="Aptos" w:hAnsi="Aptos"/>
                <w:b/>
                <w:color w:val="17202A"/>
                <w:sz w:val="18"/>
                <w:szCs w:val="18"/>
              </w:rPr>
              <w:t>Condición general y acabados</w:t>
            </w:r>
          </w:p>
        </w:tc>
        <w:tc>
          <w:tcPr>
            <w:tcW w:type="dxa" w:w="5270"/>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line="240" w:lineRule="auto"/>
              <w:jc w:val="left"/>
            </w:pPr>
            <w:r>
              <w:rPr>
                <w:rFonts w:ascii="Aptos" w:hAnsi="Aptos"/>
                <w:b w:val="0"/>
                <w:color w:val="17202A"/>
                <w:sz w:val="18"/>
                <w:szCs w:val="18"/>
              </w:rPr>
              <w:t>Muros, plafones y pisos; fisuras, manchas, humedad aparente, desprendimientos, deformaciones, deterioro, sellos y terminaciones visibles; puertas, ventanas, herrajes y elementos accesibles.</w:t>
            </w:r>
          </w:p>
        </w:tc>
      </w:tr>
      <w:tr>
        <w:trPr>
          <w:cantSplit w:val="1"/>
        </w:trPr>
        <w:tc>
          <w:tcPr>
            <w:tcW w:type="dxa" w:w="5270"/>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line="240" w:lineRule="auto"/>
              <w:jc w:val="left"/>
            </w:pPr>
            <w:r>
              <w:rPr>
                <w:rFonts w:ascii="Aptos" w:hAnsi="Aptos"/>
                <w:b/>
                <w:color w:val="17202A"/>
                <w:sz w:val="18"/>
                <w:szCs w:val="18"/>
              </w:rPr>
              <w:t>Elementos estructurales visibles</w:t>
            </w:r>
          </w:p>
        </w:tc>
        <w:tc>
          <w:tcPr>
            <w:tcW w:type="dxa" w:w="5270"/>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line="240" w:lineRule="auto"/>
              <w:jc w:val="left"/>
            </w:pPr>
            <w:r>
              <w:rPr>
                <w:rFonts w:ascii="Aptos" w:hAnsi="Aptos"/>
                <w:b w:val="0"/>
                <w:color w:val="17202A"/>
                <w:sz w:val="18"/>
                <w:szCs w:val="18"/>
              </w:rPr>
              <w:t>Losas, trabes, columnas, muros y escaleras visibles; indicios de agrietamiento, deformación, asentamiento, corrosión o deterioro que ameriten atención. No incluye cálculo ni dictamen estructural especializado.</w:t>
            </w:r>
          </w:p>
        </w:tc>
      </w:tr>
      <w:tr>
        <w:trPr>
          <w:cantSplit w:val="1"/>
        </w:trPr>
        <w:tc>
          <w:tcPr>
            <w:tcW w:type="dxa" w:w="5270"/>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line="240" w:lineRule="auto"/>
              <w:jc w:val="left"/>
            </w:pPr>
            <w:r>
              <w:rPr>
                <w:rFonts w:ascii="Aptos" w:hAnsi="Aptos"/>
                <w:b/>
                <w:color w:val="17202A"/>
                <w:sz w:val="18"/>
                <w:szCs w:val="18"/>
              </w:rPr>
              <w:t>Azotea, cubiertas y exteriores</w:t>
            </w:r>
          </w:p>
        </w:tc>
        <w:tc>
          <w:tcPr>
            <w:tcW w:type="dxa" w:w="5270"/>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line="240" w:lineRule="auto"/>
              <w:jc w:val="left"/>
            </w:pPr>
            <w:r>
              <w:rPr>
                <w:rFonts w:ascii="Aptos" w:hAnsi="Aptos"/>
                <w:b w:val="0"/>
                <w:color w:val="17202A"/>
                <w:sz w:val="18"/>
                <w:szCs w:val="18"/>
              </w:rPr>
              <w:t>Impermeabilización y recubrimientos visibles; pendientes, bajadas y desagües; pretiles, encuentros, penetraciones, sellos, fisuras, deterioro y señales de ingreso de agua, cuando exista acceso seguro.</w:t>
            </w:r>
          </w:p>
        </w:tc>
      </w:tr>
      <w:tr>
        <w:trPr>
          <w:cantSplit w:val="1"/>
        </w:trPr>
        <w:tc>
          <w:tcPr>
            <w:tcW w:type="dxa" w:w="5270"/>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line="240" w:lineRule="auto"/>
              <w:jc w:val="left"/>
            </w:pPr>
            <w:r>
              <w:rPr>
                <w:rFonts w:ascii="Aptos" w:hAnsi="Aptos"/>
                <w:b/>
                <w:color w:val="17202A"/>
                <w:sz w:val="18"/>
                <w:szCs w:val="18"/>
              </w:rPr>
              <w:t>Instalación eléctrica</w:t>
            </w:r>
          </w:p>
        </w:tc>
        <w:tc>
          <w:tcPr>
            <w:tcW w:type="dxa" w:w="5270"/>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line="240" w:lineRule="auto"/>
              <w:jc w:val="left"/>
            </w:pPr>
            <w:r>
              <w:rPr>
                <w:rFonts w:ascii="Aptos" w:hAnsi="Aptos"/>
                <w:b w:val="0"/>
                <w:color w:val="17202A"/>
                <w:sz w:val="18"/>
                <w:szCs w:val="18"/>
              </w:rPr>
              <w:t>Tablero y protecciones accesibles, conductores visibles, contactos, apagadores y puntos eléctricos; condición aparente, fijación, polaridad/tierra y protecciones cuando sean verificables; indicios de calentamiento o conexiones inseguras. Mediciones instrumentales solo cuando estén incluidas.</w:t>
            </w:r>
          </w:p>
        </w:tc>
      </w:tr>
      <w:tr>
        <w:trPr>
          <w:cantSplit w:val="1"/>
        </w:trPr>
        <w:tc>
          <w:tcPr>
            <w:tcW w:type="dxa" w:w="5270"/>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line="240" w:lineRule="auto"/>
              <w:jc w:val="left"/>
            </w:pPr>
            <w:r>
              <w:rPr>
                <w:rFonts w:ascii="Aptos" w:hAnsi="Aptos"/>
                <w:b/>
                <w:color w:val="17202A"/>
                <w:sz w:val="18"/>
                <w:szCs w:val="18"/>
              </w:rPr>
              <w:t>Instalación hidráulica</w:t>
            </w:r>
          </w:p>
        </w:tc>
        <w:tc>
          <w:tcPr>
            <w:tcW w:type="dxa" w:w="5270"/>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r>
              <w:rPr>
                <w:sz w:val="18"/>
                <w:szCs w:val="18"/>
              </w:rPr>
              <w:t>Tuberías y conexiones visibles, llaves, mezcladoras, muebles y puntos de consumo; funcionamiento, flujo, fugas o goteos aparentes, válvulas accesibles y conexiones de equipos hidráulicos presentes. Incluye prueba de hermeticidad de la instalación hidráulica, cuando las condiciones del inmueble permitan realizarla de forma segura y técnicamente procedente.</w:t>
            </w:r>
          </w:p>
        </w:tc>
      </w:tr>
      <w:tr>
        <w:trPr>
          <w:cantSplit w:val="1"/>
        </w:trPr>
        <w:tc>
          <w:tcPr>
            <w:tcW w:type="dxa" w:w="5270"/>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line="240" w:lineRule="auto"/>
              <w:jc w:val="left"/>
            </w:pPr>
            <w:r>
              <w:rPr>
                <w:rFonts w:ascii="Aptos" w:hAnsi="Aptos"/>
                <w:b/>
                <w:color w:val="17202A"/>
                <w:sz w:val="18"/>
                <w:szCs w:val="18"/>
              </w:rPr>
              <w:t>Instalación sanitaria</w:t>
            </w:r>
          </w:p>
        </w:tc>
        <w:tc>
          <w:tcPr>
            <w:tcW w:type="dxa" w:w="5270"/>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line="240" w:lineRule="auto"/>
              <w:jc w:val="left"/>
            </w:pPr>
            <w:r>
              <w:rPr>
                <w:rFonts w:ascii="Aptos" w:hAnsi="Aptos"/>
                <w:b w:val="0"/>
                <w:color w:val="17202A"/>
                <w:sz w:val="18"/>
                <w:szCs w:val="18"/>
              </w:rPr>
              <w:t>Inodoros, lavabos, regaderas, fregaderos, lavaderos, coladeras, trampas y desagües accesibles; funcionamiento aparente del drenaje, fugas, retornos, olores, sellos y signos visibles de obstrucción o deterioro.</w:t>
            </w:r>
          </w:p>
        </w:tc>
      </w:tr>
      <w:tr>
        <w:trPr>
          <w:cantSplit w:val="1"/>
        </w:trPr>
        <w:tc>
          <w:tcPr>
            <w:tcW w:type="dxa" w:w="5270"/>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line="240" w:lineRule="auto"/>
              <w:jc w:val="left"/>
            </w:pPr>
            <w:r>
              <w:rPr>
                <w:rFonts w:ascii="Aptos" w:hAnsi="Aptos"/>
                <w:b/>
                <w:color w:val="17202A"/>
                <w:sz w:val="18"/>
                <w:szCs w:val="18"/>
              </w:rPr>
              <w:t>Instalación de gas</w:t>
            </w:r>
          </w:p>
        </w:tc>
        <w:tc>
          <w:tcPr>
            <w:tcW w:type="dxa" w:w="5270"/>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r>
              <w:rPr>
                <w:sz w:val="18"/>
                <w:szCs w:val="18"/>
              </w:rPr>
              <w:t>Tuberías, válvulas, conectores y conexiones visibles de equipos; condición aparente, sujeción, ventilación y señales de riesgo. Incluye prueba de hermeticidad de la instalación de gas, cuando las condiciones del inmueble permitan realizarla de forma segura y técnicamente procedente.</w:t>
            </w:r>
          </w:p>
        </w:tc>
      </w:tr>
      <w:tr>
        <w:trPr>
          <w:cantSplit w:val="1"/>
        </w:trPr>
        <w:tc>
          <w:tcPr>
            <w:tcW w:type="dxa" w:w="5270"/>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line="240" w:lineRule="auto"/>
              <w:jc w:val="left"/>
            </w:pPr>
            <w:r>
              <w:rPr>
                <w:rFonts w:ascii="Aptos" w:hAnsi="Aptos"/>
                <w:b/>
                <w:color w:val="17202A"/>
                <w:sz w:val="18"/>
                <w:szCs w:val="18"/>
              </w:rPr>
              <w:t>Cocina</w:t>
            </w:r>
          </w:p>
        </w:tc>
        <w:tc>
          <w:tcPr>
            <w:tcW w:type="dxa" w:w="5270"/>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line="240" w:lineRule="auto"/>
              <w:jc w:val="left"/>
            </w:pPr>
            <w:r>
              <w:rPr>
                <w:rFonts w:ascii="Aptos" w:hAnsi="Aptos"/>
                <w:b w:val="0"/>
                <w:color w:val="17202A"/>
                <w:sz w:val="18"/>
                <w:szCs w:val="18"/>
              </w:rPr>
              <w:t>Cubiertas, gabinetes y acabados visibles; fregadero, llaves y drenaje; puntos hidráulicos, sanitarios, eléctricos y de gas presentes; conexiones visibles de equipos fijos y señales de humedad, deterioro o instalación deficiente.</w:t>
            </w:r>
          </w:p>
        </w:tc>
      </w:tr>
      <w:tr>
        <w:trPr>
          <w:cantSplit w:val="1"/>
        </w:trPr>
        <w:tc>
          <w:tcPr>
            <w:tcW w:type="dxa" w:w="5270"/>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line="240" w:lineRule="auto"/>
              <w:jc w:val="left"/>
            </w:pPr>
            <w:r>
              <w:rPr>
                <w:rFonts w:ascii="Aptos" w:hAnsi="Aptos"/>
                <w:b/>
                <w:color w:val="17202A"/>
                <w:sz w:val="18"/>
                <w:szCs w:val="18"/>
              </w:rPr>
              <w:t>Baños y medios baños</w:t>
            </w:r>
          </w:p>
        </w:tc>
        <w:tc>
          <w:tcPr>
            <w:tcW w:type="dxa" w:w="5270"/>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line="240" w:lineRule="auto"/>
              <w:jc w:val="left"/>
            </w:pPr>
            <w:r>
              <w:rPr>
                <w:rFonts w:ascii="Aptos" w:hAnsi="Aptos"/>
                <w:b w:val="0"/>
                <w:color w:val="17202A"/>
                <w:sz w:val="18"/>
                <w:szCs w:val="18"/>
              </w:rPr>
              <w:t>Muebles sanitarios, llaves, regaderas, drenajes, sellos y juntas; funcionamiento aparente, humedad, ventilación, acabados y puntos eléctricos próximos a zonas húmedas.</w:t>
            </w:r>
          </w:p>
        </w:tc>
      </w:tr>
      <w:tr>
        <w:trPr>
          <w:cantSplit w:val="1"/>
        </w:trPr>
        <w:tc>
          <w:tcPr>
            <w:tcW w:type="dxa" w:w="5270"/>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line="240" w:lineRule="auto"/>
              <w:jc w:val="left"/>
            </w:pPr>
            <w:r>
              <w:rPr>
                <w:rFonts w:ascii="Aptos" w:hAnsi="Aptos"/>
                <w:b/>
                <w:color w:val="17202A"/>
                <w:sz w:val="18"/>
                <w:szCs w:val="18"/>
              </w:rPr>
              <w:t>Lavandería y lavaderos</w:t>
            </w:r>
          </w:p>
        </w:tc>
        <w:tc>
          <w:tcPr>
            <w:tcW w:type="dxa" w:w="5270"/>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line="240" w:lineRule="auto"/>
              <w:jc w:val="left"/>
            </w:pPr>
            <w:r>
              <w:rPr>
                <w:rFonts w:ascii="Aptos" w:hAnsi="Aptos"/>
                <w:b w:val="0"/>
                <w:color w:val="17202A"/>
                <w:sz w:val="18"/>
                <w:szCs w:val="18"/>
              </w:rPr>
              <w:t>Alimentaciones y descargas visibles, lavadero, conexiones para lavadora/secadora, puntos eléctricos o de gas presentes, ventilación y señales de fuga, humedad o deterioro.</w:t>
            </w:r>
          </w:p>
        </w:tc>
      </w:tr>
      <w:tr>
        <w:trPr>
          <w:cantSplit w:val="1"/>
        </w:trPr>
        <w:tc>
          <w:tcPr>
            <w:tcW w:type="dxa" w:w="5270"/>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line="240" w:lineRule="auto"/>
              <w:jc w:val="left"/>
            </w:pPr>
            <w:r>
              <w:rPr>
                <w:rFonts w:ascii="Aptos" w:hAnsi="Aptos"/>
                <w:b/>
                <w:color w:val="17202A"/>
                <w:sz w:val="18"/>
                <w:szCs w:val="18"/>
              </w:rPr>
              <w:t>Recámaras, sala, comedor y estancia</w:t>
            </w:r>
          </w:p>
        </w:tc>
        <w:tc>
          <w:tcPr>
            <w:tcW w:type="dxa" w:w="5270"/>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line="240" w:lineRule="auto"/>
              <w:jc w:val="left"/>
            </w:pPr>
            <w:r>
              <w:rPr>
                <w:rFonts w:ascii="Aptos" w:hAnsi="Aptos"/>
                <w:b w:val="0"/>
                <w:color w:val="17202A"/>
                <w:sz w:val="18"/>
                <w:szCs w:val="18"/>
              </w:rPr>
              <w:t>Pisos, muros, plafones, puertas, ventanas y acabados; puntos eléctricos accesibles; funcionamiento visible de herrajes y señales de fisuras, humedad, deformación o deterioro.</w:t>
            </w:r>
          </w:p>
        </w:tc>
      </w:tr>
      <w:tr>
        <w:trPr>
          <w:cantSplit w:val="1"/>
        </w:trPr>
        <w:tc>
          <w:tcPr>
            <w:tcW w:type="dxa" w:w="5270"/>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line="240" w:lineRule="auto"/>
              <w:jc w:val="left"/>
            </w:pPr>
            <w:r>
              <w:rPr>
                <w:rFonts w:ascii="Aptos" w:hAnsi="Aptos"/>
                <w:b/>
                <w:color w:val="17202A"/>
                <w:sz w:val="18"/>
                <w:szCs w:val="18"/>
              </w:rPr>
              <w:t>Escaleras, terrazas y balcones</w:t>
            </w:r>
          </w:p>
        </w:tc>
        <w:tc>
          <w:tcPr>
            <w:tcW w:type="dxa" w:w="5270"/>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line="240" w:lineRule="auto"/>
              <w:jc w:val="left"/>
            </w:pPr>
            <w:r>
              <w:rPr>
                <w:rFonts w:ascii="Aptos" w:hAnsi="Aptos"/>
                <w:b w:val="0"/>
                <w:color w:val="17202A"/>
                <w:sz w:val="18"/>
                <w:szCs w:val="18"/>
              </w:rPr>
              <w:t>Peldaños, descansos, barandales y pasamanos; estabilidad visible, fijaciones, superficies, pendientes, drenajes y condiciones que puedan representar riesgo de caída o filtración.</w:t>
            </w:r>
          </w:p>
        </w:tc>
      </w:tr>
      <w:tr>
        <w:trPr>
          <w:cantSplit w:val="1"/>
        </w:trPr>
        <w:tc>
          <w:tcPr>
            <w:tcW w:type="dxa" w:w="5270"/>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line="240" w:lineRule="auto"/>
              <w:jc w:val="left"/>
            </w:pPr>
            <w:r>
              <w:rPr>
                <w:rFonts w:ascii="Aptos" w:hAnsi="Aptos"/>
                <w:b/>
                <w:color w:val="17202A"/>
                <w:sz w:val="18"/>
                <w:szCs w:val="18"/>
              </w:rPr>
              <w:t>Patio, cochera, jardín, bodega y áreas auxiliares</w:t>
            </w:r>
          </w:p>
        </w:tc>
        <w:tc>
          <w:tcPr>
            <w:tcW w:type="dxa" w:w="5270"/>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line="240" w:lineRule="auto"/>
              <w:jc w:val="left"/>
            </w:pPr>
            <w:r>
              <w:rPr>
                <w:rFonts w:ascii="Aptos" w:hAnsi="Aptos"/>
                <w:b w:val="0"/>
                <w:color w:val="17202A"/>
                <w:sz w:val="18"/>
                <w:szCs w:val="18"/>
              </w:rPr>
              <w:t>Superficies, pendientes y drenajes visibles; muros, cubiertas o plafones existentes; fisuras, humedad, deterioro y puntos eléctricos, hidráulicos o de gas presentes y accesibles.</w:t>
            </w:r>
          </w:p>
        </w:tc>
      </w:tr>
      <w:tr>
        <w:trPr>
          <w:cantSplit w:val="1"/>
        </w:trPr>
        <w:tc>
          <w:tcPr>
            <w:tcW w:type="dxa" w:w="5270"/>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line="240" w:lineRule="auto"/>
              <w:jc w:val="left"/>
            </w:pPr>
            <w:r>
              <w:rPr>
                <w:rFonts w:ascii="Aptos" w:hAnsi="Aptos"/>
                <w:b/>
                <w:color w:val="17202A"/>
                <w:sz w:val="18"/>
                <w:szCs w:val="18"/>
              </w:rPr>
              <w:t>Climatización y equipos fijos presentes</w:t>
            </w:r>
          </w:p>
        </w:tc>
        <w:tc>
          <w:tcPr>
            <w:tcW w:type="dxa" w:w="5270"/>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line="240" w:lineRule="auto"/>
              <w:jc w:val="left"/>
            </w:pPr>
            <w:r>
              <w:rPr>
                <w:rFonts w:ascii="Aptos" w:hAnsi="Aptos"/>
                <w:b w:val="0"/>
                <w:color w:val="17202A"/>
                <w:sz w:val="18"/>
                <w:szCs w:val="18"/>
              </w:rPr>
              <w:t>Condición visible, fijación, alimentación y drenaje de condensados de equipos accesibles; operación básica cuando sea segura y procedente. Mediciones de temperatura, flujo o carga solo si el servicio instrumental correspondiente está incluido.</w:t>
            </w:r>
          </w:p>
        </w:tc>
      </w:tr>
    </w:tbl>
    <w:p>
      <w:pPr>
        <w:spacing w:before="100" w:after="100" w:line="259" w:lineRule="auto"/>
      </w:pPr>
      <w:r>
        <w:rPr>
          <w:rFonts w:ascii="Aptos" w:hAnsi="Aptos"/>
          <w:b w:val="0"/>
          <w:color w:val="17202A"/>
          <w:sz w:val="20"/>
        </w:rPr>
        <w:t>La inspección documentará también las áreas o componentes que no puedan revisarse por falta de acceso, condiciones inseguras, ausencia de servicios o restricciones existentes el día de la visita.</w:t>
      </w:r>
    </w:p>
    <w:p>
      <w:pPr>
        <w:keepNext/>
        <w:spacing w:before="160" w:after="100"/>
      </w:pPr>
      <w:r>
        <w:rPr>
          <w:rFonts w:ascii="Aptos Display" w:hAnsi="Aptos Display"/>
          <w:b/>
          <w:color w:val="071827"/>
          <w:sz w:val="25"/>
        </w:rPr>
        <w:t>4. SERVICIOS Y VERIFICACIONES INSTRUMENTALES INCLUIDOS</w:t>
      </w:r>
    </w:p>
    <w:p>
      <w:pPr>
        <w:keepNext/>
        <w:spacing w:after="100" w:line="259" w:lineRule="auto"/>
      </w:pPr>
      <w:r>
        <w:t>Los siguientes servicios instrumentales están incluidos en esta propuesta. Complementan la inspección estándar, no generan un cargo individual adicional y se aplicarán cuando correspondan a las condiciones del inmueble, exista acceso seguro y el equipo se encuentre operativo.</w:t>
      </w:r>
    </w:p>
    <w:tbl>
      <w:tblPr>
        <w:tblW w:type="dxa" w:w="10539"/>
        <w:tblLayout w:type="fixed"/>
        <w:tblLook w:firstColumn="1" w:firstRow="1" w:lastColumn="0" w:lastRow="0" w:noHBand="0" w:noVBand="1" w:val="04A0"/>
        <w:jc w:val="center"/>
        <w:tblBorders>
          <w:top w:val="single" w:sz="6" w:space="0" w:color="D8DEE8"/>
          <w:start w:val="single" w:sz="6" w:space="0" w:color="D8DEE8"/>
          <w:bottom w:val="single" w:sz="6" w:space="0" w:color="D8DEE8"/>
          <w:end w:val="single" w:sz="6" w:space="0" w:color="D8DEE8"/>
          <w:insideH w:val="single" w:sz="6" w:space="0" w:color="D8DEE8"/>
          <w:insideV w:val="single" w:sz="6" w:space="0" w:color="D8DEE8"/>
        </w:tblBorders>
      </w:tblPr>
      <w:tblGrid>
        <w:gridCol w:w="878"/>
        <w:gridCol w:w="3294"/>
        <w:gridCol w:w="6367"/>
      </w:tblGrid>
      <w:tr>
        <w:trPr>
          <w:tblHeader w:val="true"/>
          <w:cantSplit w:val="1"/>
          <w:tblHeader w:val="true"/>
          <w:tblHeader w:val="true"/>
        </w:trPr>
        <w:tc>
          <w:tcPr>
            <w:tcW w:type="dxa" w:w="878"/>
            <w:shd w:fill="D9A52E" w:val="clear"/>
            <w:tcMar>
              <w:top w:w="90" w:type="dxa"/>
              <w:start w:w="110" w:type="dxa"/>
              <w:bottom w:w="90" w:type="dxa"/>
              <w:end w:w="110" w:type="dxa"/>
            </w:tcMar>
            <w:tcBorders>
              <w:top w:val="single" w:sz="5" w:space="0" w:color="071827"/>
              <w:left w:val="single" w:sz="5" w:space="0" w:color="071827"/>
              <w:bottom w:val="single" w:sz="5" w:space="0" w:color="071827"/>
              <w:right w:val="single" w:sz="5" w:space="0" w:color="071827"/>
              <w:insideH w:val="single" w:sz="5" w:space="0" w:color="071827"/>
              <w:insideV w:val="single" w:sz="5" w:space="0" w:color="071827"/>
            </w:tcBorders>
            <w:vAlign w:val="center"/>
          </w:tcPr>
          <w:p>
            <w:pPr>
              <w:spacing w:after="0" w:line="240" w:lineRule="auto"/>
            </w:pPr>
            <w:r>
              <w:rPr>
                <w:rFonts w:ascii="Aptos" w:hAnsi="Aptos"/>
                <w:b/>
                <w:color w:val="071827"/>
                <w:sz w:val="18"/>
                <w:szCs w:val="18"/>
              </w:rPr>
              <w:t>Incl.</w:t>
            </w:r>
          </w:p>
        </w:tc>
        <w:tc>
          <w:tcPr>
            <w:tcW w:type="dxa" w:w="3294"/>
            <w:shd w:fill="D9A52E" w:val="clear"/>
            <w:tcMar>
              <w:top w:w="90" w:type="dxa"/>
              <w:start w:w="110" w:type="dxa"/>
              <w:bottom w:w="90" w:type="dxa"/>
              <w:end w:w="110" w:type="dxa"/>
            </w:tcMar>
            <w:tcBorders>
              <w:top w:val="single" w:sz="5" w:space="0" w:color="071827"/>
              <w:left w:val="single" w:sz="5" w:space="0" w:color="071827"/>
              <w:bottom w:val="single" w:sz="5" w:space="0" w:color="071827"/>
              <w:right w:val="single" w:sz="5" w:space="0" w:color="071827"/>
              <w:insideH w:val="single" w:sz="5" w:space="0" w:color="071827"/>
              <w:insideV w:val="single" w:sz="5" w:space="0" w:color="071827"/>
            </w:tcBorders>
            <w:vAlign w:val="center"/>
          </w:tcPr>
          <w:p>
            <w:pPr>
              <w:spacing w:after="0" w:before="0" w:line="240" w:lineRule="auto"/>
              <w:jc w:val="left"/>
            </w:pPr>
            <w:r>
              <w:rPr>
                <w:rFonts w:ascii="Aptos" w:hAnsi="Aptos"/>
                <w:b/>
                <w:color w:val="071827"/>
                <w:sz w:val="18"/>
                <w:szCs w:val="18"/>
              </w:rPr>
              <w:t>Servicio / equipo</w:t>
            </w:r>
          </w:p>
        </w:tc>
        <w:tc>
          <w:tcPr>
            <w:tcW w:type="dxa" w:w="6367"/>
            <w:shd w:fill="D9A52E" w:val="clear"/>
            <w:tcMar>
              <w:top w:w="90" w:type="dxa"/>
              <w:start w:w="110" w:type="dxa"/>
              <w:bottom w:w="90" w:type="dxa"/>
              <w:end w:w="110" w:type="dxa"/>
            </w:tcMar>
            <w:tcBorders>
              <w:top w:val="single" w:sz="5" w:space="0" w:color="071827"/>
              <w:left w:val="single" w:sz="5" w:space="0" w:color="071827"/>
              <w:bottom w:val="single" w:sz="5" w:space="0" w:color="071827"/>
              <w:right w:val="single" w:sz="5" w:space="0" w:color="071827"/>
              <w:insideH w:val="single" w:sz="5" w:space="0" w:color="071827"/>
              <w:insideV w:val="single" w:sz="5" w:space="0" w:color="071827"/>
            </w:tcBorders>
            <w:vAlign w:val="center"/>
          </w:tcPr>
          <w:p>
            <w:pPr>
              <w:spacing w:after="0" w:before="0" w:line="240" w:lineRule="auto"/>
              <w:jc w:val="left"/>
            </w:pPr>
            <w:r>
              <w:rPr>
                <w:rFonts w:ascii="Aptos" w:hAnsi="Aptos"/>
                <w:b/>
                <w:color w:val="071827"/>
                <w:sz w:val="18"/>
                <w:szCs w:val="18"/>
              </w:rPr>
              <w:t>Aplicación durante la inspección</w:t>
            </w:r>
          </w:p>
        </w:tc>
      </w:tr>
      <w:tr>
        <w:trPr>
          <w:cantSplit w:val="1"/>
        </w:trPr>
        <w:tc>
          <w:tcPr>
            <w:tcW w:type="dxa" w:w="878"/>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jc w:val="center"/>
            </w:pPr>
            <w:r>
              <w:rPr>
                <w:sz w:val="18"/>
                <w:szCs w:val="18"/>
              </w:rPr>
              <w:t>✓</w:t>
            </w:r>
          </w:p>
        </w:tc>
        <w:tc>
          <w:tcPr>
            <w:tcW w:type="dxa" w:w="3294"/>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after="0" w:before="0" w:line="240" w:lineRule="auto"/>
              <w:jc w:val="left"/>
            </w:pPr>
            <w:r>
              <w:rPr>
                <w:rFonts w:ascii="Aptos" w:hAnsi="Aptos"/>
                <w:b/>
                <w:color w:val="17202A"/>
                <w:sz w:val="18"/>
                <w:szCs w:val="18"/>
              </w:rPr>
              <w:t>Cámara térmica</w:t>
            </w:r>
          </w:p>
        </w:tc>
        <w:tc>
          <w:tcPr>
            <w:tcW w:type="dxa" w:w="6367"/>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after="0" w:before="0" w:line="240" w:lineRule="auto"/>
              <w:jc w:val="left"/>
            </w:pPr>
            <w:r>
              <w:rPr>
                <w:rFonts w:ascii="Aptos" w:hAnsi="Aptos"/>
                <w:b w:val="0"/>
                <w:color w:val="17202A"/>
                <w:sz w:val="18"/>
                <w:szCs w:val="18"/>
              </w:rPr>
              <w:t>Humedad, anomalías térmicas, aislamiento, posibles fugas y calentamientos eléctricos.</w:t>
            </w:r>
          </w:p>
        </w:tc>
      </w:tr>
      <w:tr>
        <w:trPr>
          <w:cantSplit w:val="1"/>
        </w:trPr>
        <w:tc>
          <w:tcPr>
            <w:tcW w:type="dxa" w:w="878"/>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jc w:val="center"/>
            </w:pPr>
            <w:r>
              <w:rPr>
                <w:sz w:val="18"/>
                <w:szCs w:val="18"/>
              </w:rPr>
              <w:t>✓</w:t>
            </w:r>
          </w:p>
        </w:tc>
        <w:tc>
          <w:tcPr>
            <w:tcW w:type="dxa" w:w="3294"/>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after="0" w:before="0" w:line="240" w:lineRule="auto"/>
              <w:jc w:val="left"/>
            </w:pPr>
            <w:r>
              <w:rPr>
                <w:rFonts w:ascii="Aptos" w:hAnsi="Aptos"/>
                <w:b/>
                <w:color w:val="17202A"/>
                <w:sz w:val="18"/>
                <w:szCs w:val="18"/>
              </w:rPr>
              <w:t>Probador de contactos GFCI/RCD</w:t>
            </w:r>
          </w:p>
        </w:tc>
        <w:tc>
          <w:tcPr>
            <w:tcW w:type="dxa" w:w="6367"/>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after="0" w:before="0" w:line="240" w:lineRule="auto"/>
              <w:jc w:val="left"/>
            </w:pPr>
            <w:r>
              <w:rPr>
                <w:rFonts w:ascii="Aptos" w:hAnsi="Aptos"/>
                <w:b w:val="0"/>
                <w:color w:val="17202A"/>
                <w:sz w:val="18"/>
                <w:szCs w:val="18"/>
              </w:rPr>
              <w:t>Polaridad, tierra, conexiones incorrectas y funcionamiento de protección.</w:t>
            </w:r>
          </w:p>
        </w:tc>
      </w:tr>
      <w:tr>
        <w:trPr>
          <w:cantSplit w:val="1"/>
        </w:trPr>
        <w:tc>
          <w:tcPr>
            <w:tcW w:type="dxa" w:w="878"/>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jc w:val="center"/>
            </w:pPr>
            <w:r>
              <w:rPr>
                <w:sz w:val="18"/>
                <w:szCs w:val="18"/>
              </w:rPr>
              <w:t>✓</w:t>
            </w:r>
          </w:p>
        </w:tc>
        <w:tc>
          <w:tcPr>
            <w:tcW w:type="dxa" w:w="3294"/>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after="0" w:before="0" w:line="240" w:lineRule="auto"/>
              <w:jc w:val="left"/>
            </w:pPr>
            <w:r>
              <w:rPr>
                <w:rFonts w:ascii="Aptos" w:hAnsi="Aptos"/>
                <w:b/>
                <w:color w:val="17202A"/>
                <w:sz w:val="18"/>
                <w:szCs w:val="18"/>
              </w:rPr>
              <w:t>Detector de voltaje sin contacto</w:t>
            </w:r>
          </w:p>
        </w:tc>
        <w:tc>
          <w:tcPr>
            <w:tcW w:type="dxa" w:w="6367"/>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after="0" w:before="0" w:line="240" w:lineRule="auto"/>
              <w:jc w:val="left"/>
            </w:pPr>
            <w:r>
              <w:rPr>
                <w:rFonts w:ascii="Aptos" w:hAnsi="Aptos"/>
                <w:b w:val="0"/>
                <w:color w:val="17202A"/>
                <w:sz w:val="18"/>
                <w:szCs w:val="18"/>
              </w:rPr>
              <w:t>Presencia de tensión eléctrica.</w:t>
            </w:r>
          </w:p>
        </w:tc>
      </w:tr>
      <w:tr>
        <w:trPr>
          <w:cantSplit w:val="1"/>
        </w:trPr>
        <w:tc>
          <w:tcPr>
            <w:tcW w:type="dxa" w:w="878"/>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jc w:val="center"/>
            </w:pPr>
            <w:r>
              <w:rPr>
                <w:sz w:val="18"/>
                <w:szCs w:val="18"/>
              </w:rPr>
              <w:t>✓</w:t>
            </w:r>
          </w:p>
        </w:tc>
        <w:tc>
          <w:tcPr>
            <w:tcW w:type="dxa" w:w="3294"/>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after="0" w:before="0" w:line="240" w:lineRule="auto"/>
              <w:jc w:val="left"/>
            </w:pPr>
            <w:r>
              <w:rPr>
                <w:rFonts w:ascii="Aptos" w:hAnsi="Aptos"/>
                <w:b/>
                <w:color w:val="17202A"/>
                <w:sz w:val="18"/>
                <w:szCs w:val="18"/>
              </w:rPr>
              <w:t>Multímetro profesional</w:t>
            </w:r>
          </w:p>
        </w:tc>
        <w:tc>
          <w:tcPr>
            <w:tcW w:type="dxa" w:w="6367"/>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after="0" w:before="0" w:line="240" w:lineRule="auto"/>
              <w:jc w:val="left"/>
            </w:pPr>
            <w:r>
              <w:rPr>
                <w:rFonts w:ascii="Aptos" w:hAnsi="Aptos"/>
                <w:b w:val="0"/>
                <w:color w:val="17202A"/>
                <w:sz w:val="18"/>
                <w:szCs w:val="18"/>
              </w:rPr>
              <w:t>Voltaje, continuidad y verificaciones eléctricas específicas.</w:t>
            </w:r>
          </w:p>
        </w:tc>
      </w:tr>
      <w:tr>
        <w:trPr>
          <w:cantSplit w:val="1"/>
        </w:trPr>
        <w:tc>
          <w:tcPr>
            <w:tcW w:type="dxa" w:w="878"/>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jc w:val="center"/>
            </w:pPr>
            <w:r>
              <w:rPr>
                <w:sz w:val="18"/>
                <w:szCs w:val="18"/>
              </w:rPr>
              <w:t>✓</w:t>
            </w:r>
          </w:p>
        </w:tc>
        <w:tc>
          <w:tcPr>
            <w:tcW w:type="dxa" w:w="3294"/>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after="0" w:before="0" w:line="240" w:lineRule="auto"/>
              <w:jc w:val="left"/>
            </w:pPr>
            <w:r>
              <w:rPr>
                <w:rFonts w:ascii="Aptos" w:hAnsi="Aptos"/>
                <w:b/>
                <w:color w:val="17202A"/>
                <w:sz w:val="18"/>
                <w:szCs w:val="18"/>
              </w:rPr>
              <w:t>Nivel láser autonivelante</w:t>
            </w:r>
          </w:p>
        </w:tc>
        <w:tc>
          <w:tcPr>
            <w:tcW w:type="dxa" w:w="6367"/>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after="0" w:before="0" w:line="240" w:lineRule="auto"/>
              <w:jc w:val="left"/>
            </w:pPr>
            <w:r>
              <w:rPr>
                <w:rFonts w:ascii="Aptos" w:hAnsi="Aptos"/>
                <w:b w:val="0"/>
                <w:color w:val="17202A"/>
                <w:sz w:val="18"/>
                <w:szCs w:val="18"/>
              </w:rPr>
              <w:t>Desniveles y desviaciones importantes.</w:t>
            </w:r>
          </w:p>
        </w:tc>
      </w:tr>
      <w:tr>
        <w:trPr>
          <w:cantSplit w:val="1"/>
        </w:trPr>
        <w:tc>
          <w:tcPr>
            <w:tcW w:type="dxa" w:w="878"/>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jc w:val="center"/>
            </w:pPr>
            <w:r>
              <w:rPr>
                <w:sz w:val="18"/>
                <w:szCs w:val="18"/>
              </w:rPr>
              <w:t>✓</w:t>
            </w:r>
          </w:p>
        </w:tc>
        <w:tc>
          <w:tcPr>
            <w:tcW w:type="dxa" w:w="3294"/>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after="0" w:before="0" w:line="240" w:lineRule="auto"/>
              <w:jc w:val="left"/>
            </w:pPr>
            <w:r>
              <w:rPr>
                <w:rFonts w:ascii="Aptos" w:hAnsi="Aptos"/>
                <w:b/>
                <w:color w:val="17202A"/>
                <w:sz w:val="18"/>
                <w:szCs w:val="18"/>
              </w:rPr>
              <w:t>Medidor láser de distancia</w:t>
            </w:r>
          </w:p>
        </w:tc>
        <w:tc>
          <w:tcPr>
            <w:tcW w:type="dxa" w:w="6367"/>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after="0" w:before="0" w:line="240" w:lineRule="auto"/>
              <w:jc w:val="left"/>
            </w:pPr>
            <w:r>
              <w:rPr>
                <w:rFonts w:ascii="Aptos" w:hAnsi="Aptos"/>
                <w:b w:val="0"/>
                <w:color w:val="17202A"/>
                <w:sz w:val="18"/>
                <w:szCs w:val="18"/>
              </w:rPr>
              <w:t>Dimensiones y comprobaciones rápidas.</w:t>
            </w:r>
          </w:p>
        </w:tc>
      </w:tr>
      <w:tr>
        <w:trPr>
          <w:cantSplit w:val="1"/>
        </w:trPr>
        <w:tc>
          <w:tcPr>
            <w:tcW w:type="dxa" w:w="878"/>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jc w:val="center"/>
            </w:pPr>
            <w:r>
              <w:rPr>
                <w:sz w:val="18"/>
                <w:szCs w:val="18"/>
              </w:rPr>
              <w:t>✓</w:t>
            </w:r>
          </w:p>
        </w:tc>
        <w:tc>
          <w:tcPr>
            <w:tcW w:type="dxa" w:w="3294"/>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after="0" w:before="0" w:line="240" w:lineRule="auto"/>
              <w:jc w:val="left"/>
            </w:pPr>
            <w:r>
              <w:rPr>
                <w:rFonts w:ascii="Aptos" w:hAnsi="Aptos"/>
                <w:b/>
                <w:color w:val="17202A"/>
                <w:sz w:val="18"/>
                <w:szCs w:val="18"/>
              </w:rPr>
              <w:t>Martillo / rodillo de auscultación</w:t>
            </w:r>
          </w:p>
        </w:tc>
        <w:tc>
          <w:tcPr>
            <w:tcW w:type="dxa" w:w="6367"/>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after="0" w:before="0" w:line="240" w:lineRule="auto"/>
              <w:jc w:val="left"/>
            </w:pPr>
            <w:r>
              <w:rPr>
                <w:rFonts w:ascii="Aptos" w:hAnsi="Aptos"/>
                <w:b w:val="0"/>
                <w:color w:val="17202A"/>
                <w:sz w:val="18"/>
                <w:szCs w:val="18"/>
              </w:rPr>
              <w:t>Losetas con indicios de huecos o desprendimiento.</w:t>
            </w:r>
          </w:p>
        </w:tc>
      </w:tr>
      <w:tr>
        <w:trPr>
          <w:cantSplit w:val="1"/>
        </w:trPr>
        <w:tc>
          <w:tcPr>
            <w:tcW w:type="dxa" w:w="878"/>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jc w:val="center"/>
            </w:pPr>
            <w:r>
              <w:rPr>
                <w:sz w:val="18"/>
                <w:szCs w:val="18"/>
              </w:rPr>
              <w:t>✓</w:t>
            </w:r>
          </w:p>
        </w:tc>
        <w:tc>
          <w:tcPr>
            <w:tcW w:type="dxa" w:w="3294"/>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after="0" w:before="0" w:line="240" w:lineRule="auto"/>
              <w:jc w:val="left"/>
            </w:pPr>
            <w:r>
              <w:rPr>
                <w:rFonts w:ascii="Aptos" w:hAnsi="Aptos"/>
                <w:b/>
                <w:color w:val="17202A"/>
                <w:sz w:val="18"/>
                <w:szCs w:val="18"/>
              </w:rPr>
              <w:t>Linterna LED profesional</w:t>
            </w:r>
          </w:p>
        </w:tc>
        <w:tc>
          <w:tcPr>
            <w:tcW w:type="dxa" w:w="6367"/>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after="0" w:before="0" w:line="240" w:lineRule="auto"/>
              <w:jc w:val="left"/>
            </w:pPr>
            <w:r>
              <w:rPr>
                <w:rFonts w:ascii="Aptos" w:hAnsi="Aptos"/>
                <w:b w:val="0"/>
                <w:color w:val="17202A"/>
                <w:sz w:val="18"/>
                <w:szCs w:val="18"/>
              </w:rPr>
              <w:t>Inspección visual detallada.</w:t>
            </w:r>
          </w:p>
        </w:tc>
      </w:tr>
      <w:tr>
        <w:trPr>
          <w:cantSplit w:val="1"/>
        </w:trPr>
        <w:tc>
          <w:tcPr>
            <w:tcW w:type="dxa" w:w="878"/>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jc w:val="center"/>
            </w:pPr>
            <w:r>
              <w:rPr>
                <w:sz w:val="18"/>
                <w:szCs w:val="18"/>
              </w:rPr>
              <w:t>✓</w:t>
            </w:r>
          </w:p>
        </w:tc>
        <w:tc>
          <w:tcPr>
            <w:tcW w:type="dxa" w:w="3294"/>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after="0" w:before="0" w:line="240" w:lineRule="auto"/>
              <w:jc w:val="left"/>
            </w:pPr>
            <w:r>
              <w:rPr>
                <w:rFonts w:ascii="Aptos" w:hAnsi="Aptos"/>
                <w:b/>
                <w:color w:val="17202A"/>
                <w:sz w:val="18"/>
                <w:szCs w:val="18"/>
              </w:rPr>
              <w:t>Manómetro para agua</w:t>
            </w:r>
          </w:p>
        </w:tc>
        <w:tc>
          <w:tcPr>
            <w:tcW w:type="dxa" w:w="6367"/>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after="0" w:before="0" w:line="240" w:lineRule="auto"/>
              <w:jc w:val="left"/>
            </w:pPr>
            <w:r>
              <w:rPr>
                <w:rFonts w:ascii="Aptos" w:hAnsi="Aptos"/>
                <w:b w:val="0"/>
                <w:color w:val="17202A"/>
                <w:sz w:val="18"/>
                <w:szCs w:val="18"/>
              </w:rPr>
              <w:t>Presión de suministro hidráulico.</w:t>
            </w:r>
          </w:p>
        </w:tc>
      </w:tr>
      <w:tr>
        <w:trPr>
          <w:cantSplit w:val="1"/>
        </w:trPr>
        <w:tc>
          <w:tcPr>
            <w:tcW w:type="dxa" w:w="878"/>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pPr>
            <w:r>
              <w:rPr>
                <w:sz w:val="18"/>
                <w:szCs w:val="18"/>
              </w:rPr>
              <w:t>✓</w:t>
            </w:r>
          </w:p>
        </w:tc>
        <w:tc>
          <w:tcPr>
            <w:tcW w:type="dxa" w:w="3294"/>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pPr>
            <w:r>
              <w:rPr>
                <w:b/>
                <w:sz w:val="18"/>
                <w:szCs w:val="18"/>
              </w:rPr>
              <w:t>Prueba de hermeticidad hidráulica</w:t>
            </w:r>
          </w:p>
        </w:tc>
        <w:tc>
          <w:tcPr>
            <w:tcW w:type="dxa" w:w="6367"/>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pPr>
            <w:r>
              <w:rPr>
                <w:sz w:val="18"/>
                <w:szCs w:val="18"/>
              </w:rPr>
              <w:t>Verificación de la estanqueidad de la instalación hidráulica cuando sea técnicamente procedente y exista acceso seguro.</w:t>
            </w:r>
          </w:p>
        </w:tc>
      </w:tr>
      <w:tr>
        <w:trPr>
          <w:cantSplit w:val="1"/>
        </w:trPr>
        <w:tc>
          <w:tcPr>
            <w:tcW w:type="dxa" w:w="878"/>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pPr>
            <w:r>
              <w:rPr>
                <w:sz w:val="18"/>
                <w:szCs w:val="18"/>
              </w:rPr>
              <w:t>✓</w:t>
            </w:r>
          </w:p>
        </w:tc>
        <w:tc>
          <w:tcPr>
            <w:tcW w:type="dxa" w:w="3294"/>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pPr>
            <w:r>
              <w:rPr>
                <w:b/>
                <w:sz w:val="18"/>
                <w:szCs w:val="18"/>
              </w:rPr>
              <w:t>Prueba de hermeticidad de gas</w:t>
            </w:r>
          </w:p>
        </w:tc>
        <w:tc>
          <w:tcPr>
            <w:tcW w:type="dxa" w:w="6367"/>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pPr>
            <w:r>
              <w:rPr>
                <w:sz w:val="18"/>
                <w:szCs w:val="18"/>
              </w:rPr>
              <w:t>Verificación de la estanqueidad de la instalación de gas cuando sea técnicamente procedente y exista acceso seguro.</w:t>
            </w:r>
          </w:p>
        </w:tc>
      </w:tr>
    </w:tbl>
    <w:p>
      <w:pPr>
        <w:keepNext/>
        <w:pageBreakBefore/>
        <w:spacing w:before="160" w:after="100"/>
      </w:pPr>
      <w:r>
        <w:rPr>
          <w:rFonts w:ascii="Aptos Display" w:hAnsi="Aptos Display"/>
          <w:b/>
          <w:color w:val="071827"/>
          <w:sz w:val="25"/>
        </w:rPr>
        <w:t>5. QUÉ RECIBIRÁ EL CLIENTE</w:t>
      </w:r>
    </w:p>
    <w:tbl>
      <w:tblPr>
        <w:tblW w:type="dxa" w:w="10539"/>
        <w:tblLayout w:type="fixed"/>
        <w:tblLook w:firstColumn="1" w:firstRow="1" w:lastColumn="0" w:lastRow="0" w:noHBand="0" w:noVBand="1" w:val="04A0"/>
        <w:jc w:val="center"/>
        <w:tblBorders>
          <w:top w:val="single" w:sz="6" w:space="0" w:color="D8DEE8"/>
          <w:start w:val="single" w:sz="6" w:space="0" w:color="D8DEE8"/>
          <w:bottom w:val="single" w:sz="6" w:space="0" w:color="D8DEE8"/>
          <w:end w:val="single" w:sz="6" w:space="0" w:color="D8DEE8"/>
          <w:insideH w:val="single" w:sz="6" w:space="0" w:color="D8DEE8"/>
          <w:insideV w:val="single" w:sz="6" w:space="0" w:color="D8DEE8"/>
        </w:tblBorders>
      </w:tblPr>
      <w:tblGrid>
        <w:gridCol w:w="2969"/>
        <w:gridCol w:w="7570"/>
      </w:tblGrid>
      <w:tr>
        <w:trPr>
          <w:tblHeader w:val="true"/>
          <w:tblHeader w:val="true"/>
          <w:cantSplit w:val="1"/>
          <w:tblHeader w:val="true"/>
          <w:tblHeader w:val="true"/>
        </w:trPr>
        <w:tc>
          <w:tcPr>
            <w:tcW w:type="dxa" w:w="2969"/>
            <w:shd w:fill="D9A52E" w:val="clear"/>
            <w:vAlign w:val="center"/>
            <w:tcMar>
              <w:top w:w="90" w:type="dxa"/>
              <w:start w:w="110" w:type="dxa"/>
              <w:bottom w:w="90" w:type="dxa"/>
              <w:end w:w="110" w:type="dxa"/>
            </w:tcMar>
            <w:tcBorders>
              <w:top w:val="single" w:sz="5" w:space="0" w:color="071827"/>
              <w:left w:val="single" w:sz="5" w:space="0" w:color="071827"/>
              <w:bottom w:val="single" w:sz="5" w:space="0" w:color="071827"/>
              <w:right w:val="single" w:sz="5" w:space="0" w:color="071827"/>
              <w:insideH w:val="single" w:sz="5" w:space="0" w:color="071827"/>
              <w:insideV w:val="single" w:sz="5" w:space="0" w:color="071827"/>
            </w:tcBorders>
          </w:tcPr>
          <w:p>
            <w:pPr>
              <w:spacing w:before="0" w:after="0" w:line="240" w:lineRule="auto"/>
              <w:jc w:val="left"/>
            </w:pPr>
            <w:r>
              <w:rPr>
                <w:rFonts w:ascii="Aptos" w:hAnsi="Aptos"/>
                <w:b/>
                <w:color w:val="071827"/>
                <w:sz w:val="18"/>
                <w:szCs w:val="18"/>
              </w:rPr>
              <w:t>Entregable</w:t>
            </w:r>
          </w:p>
        </w:tc>
        <w:tc>
          <w:tcPr>
            <w:tcW w:type="dxa" w:w="7570"/>
            <w:shd w:fill="D9A52E" w:val="clear"/>
            <w:vAlign w:val="center"/>
            <w:tcMar>
              <w:top w:w="90" w:type="dxa"/>
              <w:start w:w="110" w:type="dxa"/>
              <w:bottom w:w="90" w:type="dxa"/>
              <w:end w:w="110" w:type="dxa"/>
            </w:tcMar>
            <w:tcBorders>
              <w:top w:val="single" w:sz="5" w:space="0" w:color="071827"/>
              <w:left w:val="single" w:sz="5" w:space="0" w:color="071827"/>
              <w:bottom w:val="single" w:sz="5" w:space="0" w:color="071827"/>
              <w:right w:val="single" w:sz="5" w:space="0" w:color="071827"/>
              <w:insideH w:val="single" w:sz="5" w:space="0" w:color="071827"/>
              <w:insideV w:val="single" w:sz="5" w:space="0" w:color="071827"/>
            </w:tcBorders>
          </w:tcPr>
          <w:p>
            <w:pPr>
              <w:spacing w:before="0" w:after="0" w:line="240" w:lineRule="auto"/>
              <w:jc w:val="left"/>
            </w:pPr>
            <w:r>
              <w:rPr>
                <w:rFonts w:ascii="Aptos" w:hAnsi="Aptos"/>
                <w:b/>
                <w:color w:val="071827"/>
                <w:sz w:val="18"/>
                <w:szCs w:val="18"/>
              </w:rPr>
              <w:t>Qué contiene</w:t>
            </w:r>
          </w:p>
        </w:tc>
      </w:tr>
      <w:tr>
        <w:trPr>
          <w:cantSplit w:val="1"/>
        </w:trPr>
        <w:tc>
          <w:tcPr>
            <w:tcW w:type="dxa" w:w="2969"/>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line="240" w:lineRule="auto"/>
              <w:jc w:val="left"/>
            </w:pPr>
            <w:r>
              <w:rPr>
                <w:rFonts w:ascii="Aptos" w:hAnsi="Aptos"/>
                <w:b/>
                <w:color w:val="17202A"/>
                <w:sz w:val="18"/>
                <w:szCs w:val="18"/>
              </w:rPr>
              <w:t>Reporte técnico digital en PDF</w:t>
            </w:r>
          </w:p>
        </w:tc>
        <w:tc>
          <w:tcPr>
            <w:tcW w:type="dxa" w:w="7570"/>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line="240" w:lineRule="auto"/>
              <w:jc w:val="left"/>
            </w:pPr>
            <w:r>
              <w:rPr>
                <w:rFonts w:ascii="Aptos" w:hAnsi="Aptos"/>
                <w:b w:val="0"/>
                <w:color w:val="17202A"/>
                <w:sz w:val="18"/>
                <w:szCs w:val="18"/>
              </w:rPr>
              <w:t>Documento formal de Certeza Habitacional con identificación del inmueble, fecha de inspección, alcance ejecutado y condiciones relevantes de la visita.</w:t>
            </w:r>
          </w:p>
        </w:tc>
      </w:tr>
      <w:tr>
        <w:trPr>
          <w:cantSplit w:val="1"/>
        </w:trPr>
        <w:tc>
          <w:tcPr>
            <w:tcW w:type="dxa" w:w="2969"/>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line="240" w:lineRule="auto"/>
              <w:jc w:val="left"/>
            </w:pPr>
            <w:r>
              <w:rPr>
                <w:rFonts w:ascii="Aptos" w:hAnsi="Aptos"/>
                <w:b/>
                <w:color w:val="17202A"/>
                <w:sz w:val="18"/>
                <w:szCs w:val="18"/>
              </w:rPr>
              <w:t>Resumen ejecutivo</w:t>
            </w:r>
          </w:p>
        </w:tc>
        <w:tc>
          <w:tcPr>
            <w:tcW w:type="dxa" w:w="7570"/>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line="240" w:lineRule="auto"/>
              <w:jc w:val="left"/>
            </w:pPr>
            <w:r>
              <w:rPr>
                <w:rFonts w:ascii="Aptos" w:hAnsi="Aptos"/>
                <w:b w:val="0"/>
                <w:color w:val="17202A"/>
                <w:sz w:val="18"/>
                <w:szCs w:val="18"/>
              </w:rPr>
              <w:t>Síntesis del estado general del inmueble y de los aspectos que requieren mayor atención para facilitar la toma de decisiones.</w:t>
            </w:r>
          </w:p>
        </w:tc>
      </w:tr>
      <w:tr>
        <w:trPr>
          <w:cantSplit w:val="1"/>
        </w:trPr>
        <w:tc>
          <w:tcPr>
            <w:tcW w:type="dxa" w:w="2969"/>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line="240" w:lineRule="auto"/>
              <w:jc w:val="left"/>
            </w:pPr>
            <w:r>
              <w:rPr>
                <w:rFonts w:ascii="Aptos" w:hAnsi="Aptos"/>
                <w:b/>
                <w:color w:val="17202A"/>
                <w:sz w:val="18"/>
                <w:szCs w:val="18"/>
              </w:rPr>
              <w:t>Cobertura por áreas y sistemas</w:t>
            </w:r>
          </w:p>
        </w:tc>
        <w:tc>
          <w:tcPr>
            <w:tcW w:type="dxa" w:w="7570"/>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line="240" w:lineRule="auto"/>
              <w:jc w:val="left"/>
            </w:pPr>
            <w:r>
              <w:rPr>
                <w:rFonts w:ascii="Aptos" w:hAnsi="Aptos"/>
                <w:b w:val="0"/>
                <w:color w:val="17202A"/>
                <w:sz w:val="18"/>
                <w:szCs w:val="18"/>
              </w:rPr>
              <w:t>Registro de las áreas declaradas que fueron inspeccionadas y de los sistemas revisados dentro de ellas, así como las limitaciones de acceso que hubieran existido.</w:t>
            </w:r>
          </w:p>
        </w:tc>
      </w:tr>
      <w:tr>
        <w:trPr>
          <w:cantSplit w:val="1"/>
        </w:trPr>
        <w:tc>
          <w:tcPr>
            <w:tcW w:type="dxa" w:w="2969"/>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line="240" w:lineRule="auto"/>
              <w:jc w:val="left"/>
            </w:pPr>
            <w:r>
              <w:rPr>
                <w:rFonts w:ascii="Aptos" w:hAnsi="Aptos"/>
                <w:b/>
                <w:color w:val="17202A"/>
                <w:sz w:val="18"/>
                <w:szCs w:val="18"/>
              </w:rPr>
              <w:t>Hallazgos clasificados</w:t>
            </w:r>
          </w:p>
        </w:tc>
        <w:tc>
          <w:tcPr>
            <w:tcW w:type="dxa" w:w="7570"/>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line="240" w:lineRule="auto"/>
              <w:jc w:val="left"/>
            </w:pPr>
            <w:r>
              <w:rPr>
                <w:rFonts w:ascii="Aptos" w:hAnsi="Aptos"/>
                <w:b w:val="0"/>
                <w:color w:val="17202A"/>
                <w:sz w:val="18"/>
                <w:szCs w:val="18"/>
              </w:rPr>
              <w:t>Cada condición relevante se presenta con la clasificación del Método Certeza®: Conforme, Observación, No Conforme o Condición Crítica, según corresponda.</w:t>
            </w:r>
          </w:p>
        </w:tc>
      </w:tr>
      <w:tr>
        <w:trPr>
          <w:cantSplit w:val="1"/>
        </w:trPr>
        <w:tc>
          <w:tcPr>
            <w:tcW w:type="dxa" w:w="2969"/>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line="240" w:lineRule="auto"/>
              <w:jc w:val="left"/>
            </w:pPr>
            <w:r>
              <w:rPr>
                <w:rFonts w:ascii="Aptos" w:hAnsi="Aptos"/>
                <w:b/>
                <w:color w:val="17202A"/>
                <w:sz w:val="18"/>
                <w:szCs w:val="18"/>
              </w:rPr>
              <w:t>Evidencia fotográfica</w:t>
            </w:r>
          </w:p>
        </w:tc>
        <w:tc>
          <w:tcPr>
            <w:tcW w:type="dxa" w:w="7570"/>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line="240" w:lineRule="auto"/>
              <w:jc w:val="left"/>
            </w:pPr>
            <w:r>
              <w:rPr>
                <w:rFonts w:ascii="Aptos" w:hAnsi="Aptos"/>
                <w:b w:val="0"/>
                <w:color w:val="17202A"/>
                <w:sz w:val="18"/>
                <w:szCs w:val="18"/>
              </w:rPr>
              <w:t>Fotografías de soporte vinculadas con los hallazgos y su ubicación para facilitar la comprensión de lo observado.</w:t>
            </w:r>
          </w:p>
        </w:tc>
      </w:tr>
      <w:tr>
        <w:trPr>
          <w:cantSplit w:val="1"/>
        </w:trPr>
        <w:tc>
          <w:tcPr>
            <w:tcW w:type="dxa" w:w="2969"/>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line="240" w:lineRule="auto"/>
              <w:jc w:val="left"/>
            </w:pPr>
            <w:r>
              <w:rPr>
                <w:rFonts w:ascii="Aptos" w:hAnsi="Aptos"/>
                <w:b/>
                <w:color w:val="17202A"/>
                <w:sz w:val="18"/>
                <w:szCs w:val="18"/>
              </w:rPr>
              <w:t>Descripción y prioridad de atención</w:t>
            </w:r>
          </w:p>
        </w:tc>
        <w:tc>
          <w:tcPr>
            <w:tcW w:type="dxa" w:w="7570"/>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line="240" w:lineRule="auto"/>
              <w:jc w:val="left"/>
            </w:pPr>
            <w:r>
              <w:rPr>
                <w:rFonts w:ascii="Aptos" w:hAnsi="Aptos"/>
                <w:b w:val="0"/>
                <w:color w:val="17202A"/>
                <w:sz w:val="18"/>
                <w:szCs w:val="18"/>
              </w:rPr>
              <w:t>Explicación clara de la condición encontrada, su importancia y una orientación de prioridad o siguiente acción cuando resulte pertinente.</w:t>
            </w:r>
          </w:p>
        </w:tc>
      </w:tr>
      <w:tr>
        <w:trPr>
          <w:cantSplit w:val="1"/>
        </w:trPr>
        <w:tc>
          <w:tcPr>
            <w:tcW w:type="dxa" w:w="2969"/>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line="240" w:lineRule="auto"/>
              <w:jc w:val="left"/>
            </w:pPr>
            <w:r>
              <w:rPr>
                <w:rFonts w:ascii="Aptos" w:hAnsi="Aptos"/>
                <w:b/>
                <w:color w:val="17202A"/>
                <w:sz w:val="18"/>
                <w:szCs w:val="18"/>
              </w:rPr>
              <w:t>Resultados instrumentales aplicables</w:t>
            </w:r>
          </w:p>
        </w:tc>
        <w:tc>
          <w:tcPr>
            <w:tcW w:type="dxa" w:w="7570"/>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line="240" w:lineRule="auto"/>
              <w:jc w:val="left"/>
            </w:pPr>
            <w:r>
              <w:rPr>
                <w:rFonts w:ascii="Aptos" w:hAnsi="Aptos"/>
                <w:b w:val="0"/>
                <w:color w:val="17202A"/>
                <w:sz w:val="18"/>
                <w:szCs w:val="18"/>
              </w:rPr>
              <w:t>Cuando se hayan incluido y utilizado servicios instrumentales, el reporte incorporará los resultados relevantes obtenidos como apoyo de la inspección.</w:t>
            </w:r>
          </w:p>
        </w:tc>
      </w:tr>
      <w:tr>
        <w:trPr>
          <w:cantSplit w:val="1"/>
        </w:trPr>
        <w:tc>
          <w:tcPr>
            <w:tcW w:type="dxa" w:w="2969"/>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line="240" w:lineRule="auto"/>
              <w:jc w:val="left"/>
            </w:pPr>
            <w:r>
              <w:rPr>
                <w:rFonts w:ascii="Aptos" w:hAnsi="Aptos"/>
                <w:b/>
                <w:color w:val="17202A"/>
                <w:sz w:val="18"/>
                <w:szCs w:val="18"/>
              </w:rPr>
              <w:t>Registro de limitaciones</w:t>
            </w:r>
          </w:p>
        </w:tc>
        <w:tc>
          <w:tcPr>
            <w:tcW w:type="dxa" w:w="7570"/>
            <w:shd w:fill="FFFFFF" w:val="clear"/>
            <w:vAlign w:val="center"/>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before="0" w:after="0" w:line="240" w:lineRule="auto"/>
              <w:jc w:val="left"/>
            </w:pPr>
            <w:r>
              <w:rPr>
                <w:rFonts w:ascii="Aptos" w:hAnsi="Aptos"/>
                <w:b w:val="0"/>
                <w:color w:val="17202A"/>
                <w:sz w:val="18"/>
                <w:szCs w:val="18"/>
              </w:rPr>
              <w:t>Se indicarán los componentes o áreas que no pudieron inspeccionarse y la causa: falta de acceso, condición insegura, ausencia de servicios, obstrucción u otra restricción.</w:t>
            </w:r>
          </w:p>
        </w:tc>
      </w:tr>
    </w:tbl>
    <w:p>
      <w:pPr>
        <w:keepNext/>
        <w:spacing w:before="100" w:after="100" w:line="259" w:lineRule="auto"/>
      </w:pPr>
      <w:r>
        <w:rPr>
          <w:rFonts w:ascii="Aptos" w:hAnsi="Aptos"/>
          <w:b w:val="0"/>
          <w:color w:val="17202A"/>
          <w:sz w:val="20"/>
        </w:rPr>
        <w:t>El valor del servicio no se limita a la entrega de un documento: el reporte es la evidencia organizada de la inspección realizada y permite identificar qué se revisó, qué se encontró y qué condiciones merecen atención.</w:t>
      </w:r>
    </w:p>
    <w:p>
      <w:pPr>
        <w:keepNext/>
        <w:spacing w:before="160" w:after="100"/>
      </w:pPr>
      <w:r>
        <w:rPr>
          <w:rFonts w:ascii="Aptos Display" w:hAnsi="Aptos Display"/>
          <w:b/>
          <w:color w:val="071827"/>
          <w:sz w:val="25"/>
        </w:rPr>
        <w:t>6. LIMITACIONES Y CONDICIONES ESPECÍFICAS</w:t>
      </w:r>
    </w:p>
    <w:tbl>
      <w:tblPr>
        <w:tblW w:type="dxa" w:w="10539"/>
        <w:tblLayout w:type="fixed"/>
        <w:tblLook w:firstColumn="1" w:firstRow="1" w:lastColumn="0" w:lastRow="0" w:noHBand="0" w:noVBand="1" w:val="04A0"/>
        <w:jc w:val="center"/>
        <w:tblBorders>
          <w:top w:val="single" w:sz="6" w:space="0" w:color="D8DEE8"/>
          <w:start w:val="single" w:sz="6" w:space="0" w:color="D8DEE8"/>
          <w:bottom w:val="single" w:sz="6" w:space="0" w:color="D8DEE8"/>
          <w:end w:val="single" w:sz="6" w:space="0" w:color="D8DEE8"/>
          <w:insideH w:val="single" w:sz="6" w:space="0" w:color="D8DEE8"/>
          <w:insideV w:val="single" w:sz="6" w:space="0" w:color="D8DEE8"/>
        </w:tblBorders>
      </w:tblPr>
      <w:tblGrid>
        <w:gridCol w:w="10539"/>
      </w:tblGrid>
      <w:tr>
        <w:trPr>
          <w:cantSplit/>
        </w:trPr>
        <w:tc>
          <w:tcPr>
            <w:tcW w:type="dxa" w:w="10539"/>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vAlign w:val="center"/>
            <w:shd w:fill="FFFFFF" w:val="clear"/>
          </w:tcPr>
          <w:p>
            <w:pPr>
              <w:spacing w:after="0" w:line="240" w:lineRule="auto"/>
              <w:ind w:left="72"/>
            </w:pPr>
            <w:r>
              <w:rPr>
                <w:rFonts w:ascii="Aptos" w:hAnsi="Aptos"/>
                <w:b w:val="0"/>
                <w:i w:val="0"/>
                <w:color w:val="17202A"/>
                <w:sz w:val="18"/>
                <w:szCs w:val="18"/>
              </w:rPr>
              <w:t>• La inspección se realizará únicamente en áreas visibles, accesibles y seguras, sin desmontajes, demoliciones ni pruebas destructivas.</w:t>
            </w:r>
          </w:p>
        </w:tc>
      </w:tr>
      <w:tr>
        <w:trPr>
          <w:cantSplit/>
        </w:trPr>
        <w:tc>
          <w:tcPr>
            <w:tcW w:type="dxa" w:w="10539"/>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vAlign w:val="center"/>
            <w:shd w:fill="FFFFFF" w:val="clear"/>
          </w:tcPr>
          <w:p>
            <w:pPr>
              <w:spacing w:after="0" w:line="240" w:lineRule="auto"/>
              <w:ind w:left="72"/>
            </w:pPr>
            <w:r>
              <w:rPr>
                <w:rFonts w:ascii="Aptos" w:hAnsi="Aptos"/>
                <w:b w:val="0"/>
                <w:i w:val="0"/>
                <w:color w:val="17202A"/>
                <w:sz w:val="18"/>
                <w:szCs w:val="18"/>
              </w:rPr>
              <w:t>• Las verificaciones funcionales e instrumentales se realizarán cuando existan condiciones seguras, servicios activos y acceso suficiente al componente a revisar.</w:t>
            </w:r>
          </w:p>
        </w:tc>
      </w:tr>
    </w:tbl>
    <w:tbl>
      <w:tblPr>
        <w:tblW w:type="dxa" w:w="10539"/>
        <w:tblLayout w:type="fixed"/>
        <w:tblLook w:firstColumn="1" w:firstRow="1" w:lastColumn="0" w:lastRow="0" w:noHBand="0" w:noVBand="1" w:val="04A0"/>
        <w:jc w:val="center"/>
        <w:tblBorders>
          <w:top w:val="single" w:sz="6" w:space="0" w:color="D8DEE8"/>
          <w:start w:val="single" w:sz="6" w:space="0" w:color="D8DEE8"/>
          <w:bottom w:val="single" w:sz="6" w:space="0" w:color="D8DEE8"/>
          <w:end w:val="single" w:sz="6" w:space="0" w:color="D8DEE8"/>
          <w:insideH w:val="single" w:sz="6" w:space="0" w:color="D8DEE8"/>
          <w:insideV w:val="single" w:sz="6" w:space="0" w:color="D8DEE8"/>
        </w:tblBorders>
      </w:tblPr>
      <w:tblGrid>
        <w:gridCol w:w="189"/>
        <w:gridCol w:w="10350"/>
      </w:tblGrid>
      <w:tr>
        <w:trPr>
          <w:cantSplit w:val="1"/>
        </w:trPr>
        <w:tc>
          <w:tcPr>
            <w:tcW w:type="dxa" w:w="189"/>
            <w:shd w:fill="FFFFFF" w:val="cle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vAlign w:val="center"/>
            <w:tcMar>
              <w:top w:w="90" w:type="dxa"/>
              <w:start w:w="110" w:type="dxa"/>
              <w:bottom w:w="90" w:type="dxa"/>
              <w:end w:w="110" w:type="dxa"/>
            </w:tcMar>
          </w:tcPr>
          <w:p>
            <w:pPr>
              <w:spacing w:after="0" w:line="240" w:lineRule="auto"/>
            </w:pPr>
          </w:p>
        </w:tc>
        <w:tc>
          <w:tcPr>
            <w:tcW w:type="dxa" w:w="10350"/>
            <w:shd w:fill="FFFFFF" w:val="cle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Mar>
              <w:top w:w="90" w:type="dxa"/>
              <w:start w:w="110" w:type="dxa"/>
              <w:bottom w:w="90" w:type="dxa"/>
              <w:end w:w="110" w:type="dxa"/>
            </w:tcMar>
            <w:vAlign w:val="center"/>
          </w:tcPr>
          <w:p>
            <w:pPr>
              <w:spacing w:after="0" w:line="240" w:lineRule="auto"/>
            </w:pPr>
            <w:r>
              <w:rPr>
                <w:rFonts w:ascii="Aptos" w:hAnsi="Aptos"/>
                <w:color w:val="071827"/>
                <w:sz w:val="18"/>
              </w:rPr>
            </w:r>
            <w:r>
              <w:rPr>
                <w:rFonts w:ascii="Aptos" w:hAnsi="Aptos"/>
                <w:b/>
                <w:color w:val="071827"/>
                <w:sz w:val="18"/>
                <w:szCs w:val="18"/>
              </w:rPr>
              <w:t>Criterio de disponibilidad operativa</w:t>
            </w:r>
          </w:p>
          <w:p>
            <w:pPr>
              <w:spacing w:after="0" w:line="240" w:lineRule="auto"/>
            </w:pPr>
            <w:r>
              <w:rPr>
                <w:rFonts w:ascii="Aptos" w:hAnsi="Aptos"/>
                <w:b w:val="0"/>
                <w:color w:val="071827"/>
                <w:sz w:val="18"/>
                <w:szCs w:val="18"/>
              </w:rPr>
              <w:t>Los servicios seleccionados forman parte del alcance ofrecido sin generar un cargo individual adicional. Su ejecución está sujeta a que sean aplicables a las condiciones del inmueble, exista acceso seguro y el equipo requerido se encuentre operativo. Si después de emitida la cotización surgiera una indisponibilidad imprevista, Certeza Habitacional informará al cliente antes de iniciar y acordará cualquier ajuste de alcance que resulte necesario.</w:t>
            </w:r>
          </w:p>
        </w:tc>
      </w:tr>
    </w:tbl>
    <w:p>
      <w:pPr>
        <w:keepNext/>
        <w:pageBreakBefore/>
        <w:spacing w:before="160" w:after="100"/>
      </w:pPr>
      <w:r>
        <w:rPr>
          <w:rFonts w:ascii="Aptos Display" w:hAnsi="Aptos Display"/>
          <w:b/>
          <w:color w:val="071827"/>
          <w:sz w:val="25"/>
        </w:rPr>
        <w:t>7. INVERSIÓN</w:t>
      </w:r>
    </w:p>
    <w:tbl>
      <w:tblPr>
        <w:tblW w:type="dxa" w:w="10539"/>
        <w:tblLayout w:type="fixed"/>
        <w:tblLook w:firstColumn="1" w:firstRow="1" w:lastColumn="0" w:lastRow="0" w:noHBand="0" w:noVBand="1" w:val="04A0"/>
        <w:jc w:val="center"/>
        <w:tblBorders>
          <w:top w:val="single" w:sz="6" w:space="0" w:color="D8DEE8"/>
          <w:start w:val="single" w:sz="6" w:space="0" w:color="D8DEE8"/>
          <w:bottom w:val="single" w:sz="6" w:space="0" w:color="D8DEE8"/>
          <w:end w:val="single" w:sz="6" w:space="0" w:color="D8DEE8"/>
          <w:insideH w:val="single" w:sz="6" w:space="0" w:color="D8DEE8"/>
          <w:insideV w:val="single" w:sz="6" w:space="0" w:color="D8DEE8"/>
        </w:tblBorders>
      </w:tblPr>
      <w:tblGrid>
        <w:gridCol w:w="7402"/>
        <w:gridCol w:w="3138"/>
      </w:tblGrid>
      <w:tr>
        <w:trPr>
          <w:cantSplit w:val="1"/>
        </w:trPr>
        <w:tc>
          <w:tcPr>
            <w:tcW w:type="dxa" w:w="7402"/>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shd w:fill="FFFFFF" w:val="clear"/>
            <w:vAlign w:val="center"/>
          </w:tcPr>
          <w:p>
            <w:r>
              <w:rPr>
                <w:b/>
                <w:sz w:val="18"/>
                <w:szCs w:val="18"/>
              </w:rPr>
              <w:t>TOTAL DE LA COTIZACIÓN</w:t>
            </w:r>
          </w:p>
        </w:tc>
        <w:tc>
          <w:tcPr>
            <w:tcW w:type="dxa" w:w="3138"/>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vAlign w:val="center"/>
            <w:shd w:fill="FFFFFF" w:val="clear"/>
          </w:tcPr>
          <w:p>
            <w:r>
              <w:rPr>
                <w:b/>
                <w:sz w:val="18"/>
                <w:szCs w:val="18"/>
              </w:rPr>
              <w:t>$5,500.00 MXN</w:t>
            </w:r>
          </w:p>
        </w:tc>
      </w:tr>
    </w:tbl>
    <w:p>
      <w:pPr>
        <w:keepNext/>
        <w:spacing w:before="100" w:after="100" w:line="259" w:lineRule="auto"/>
      </w:pPr>
      <w:r/>
      <w:r>
        <w:t>El total de la presente cotización es de $5,500.00 MXN. Nota: En caso de requerir factura, al importe anterior se adicionará el IVA correspondiente.</w:t>
      </w:r>
    </w:p>
    <w:p>
      <w:pPr>
        <w:keepNext/>
        <w:spacing w:before="160" w:after="100"/>
      </w:pPr>
      <w:r>
        <w:rPr>
          <w:rFonts w:ascii="Aptos Display" w:hAnsi="Aptos Display"/>
          <w:b/>
          <w:color w:val="071827"/>
          <w:sz w:val="25"/>
        </w:rPr>
        <w:t>8. CONDICIONES COMERCIALES</w:t>
      </w:r>
    </w:p>
    <w:p>
      <w:pPr>
        <w:spacing w:after="100" w:line="259" w:lineRule="auto"/>
      </w:pPr>
      <w:r>
        <w:rPr>
          <w:rFonts w:ascii="Aptos" w:hAnsi="Aptos"/>
          <w:b w:val="0"/>
          <w:color w:val="17202A"/>
          <w:sz w:val="20"/>
        </w:rPr>
        <w:t>La forma de pago se define al emitir la cotización y únicamente puede corresponder a una de las dos modalidades indicadas a continuación.</w:t>
      </w:r>
    </w:p>
    <w:tbl>
      <w:tblPr>
        <w:tblW w:type="dxa" w:w="10539"/>
        <w:tblLayout w:type="fixed"/>
        <w:tblLook w:firstColumn="1" w:firstRow="1" w:lastColumn="0" w:lastRow="0" w:noHBand="0" w:noVBand="1" w:val="04A0"/>
        <w:jc w:val="center"/>
        <w:tblBorders>
          <w:top w:val="single" w:sz="6" w:space="0" w:color="D8DEE8"/>
          <w:start w:val="single" w:sz="6" w:space="0" w:color="D8DEE8"/>
          <w:bottom w:val="single" w:sz="6" w:space="0" w:color="D8DEE8"/>
          <w:end w:val="single" w:sz="6" w:space="0" w:color="D8DEE8"/>
          <w:insideH w:val="single" w:sz="6" w:space="0" w:color="D8DEE8"/>
          <w:insideV w:val="single" w:sz="6" w:space="0" w:color="D8DEE8"/>
        </w:tblBorders>
      </w:tblPr>
      <w:tblGrid>
        <w:gridCol w:w="2011"/>
        <w:gridCol w:w="8528"/>
      </w:tblGrid>
      <w:tr>
        <w:trPr>
          <w:cantSplit w:val="1"/>
        </w:trPr>
        <w:tc>
          <w:tcPr>
            <w:tcW w:type="dxa" w:w="2011"/>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shd w:fill="FFFFFF" w:val="clear"/>
            <w:vAlign w:val="center"/>
          </w:tcPr>
          <w:p>
            <w:pPr>
              <w:spacing w:before="0" w:after="0" w:line="240" w:lineRule="auto"/>
              <w:jc w:val="left"/>
            </w:pPr>
            <w:r>
              <w:rPr>
                <w:rFonts w:ascii="Aptos" w:hAnsi="Aptos"/>
                <w:b/>
                <w:i w:val="0"/>
                <w:color w:val="071827"/>
                <w:sz w:val="18"/>
                <w:szCs w:val="18"/>
              </w:rPr>
              <w:t>Vigencia</w:t>
            </w:r>
          </w:p>
        </w:tc>
        <w:tc>
          <w:tcPr>
            <w:tcW w:type="dxa" w:w="8528"/>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vAlign w:val="center"/>
            <w:shd w:fill="FFFFFF" w:val="clear"/>
          </w:tcPr>
          <w:p>
            <w:pPr>
              <w:spacing w:before="0" w:after="0" w:line="240" w:lineRule="auto"/>
              <w:jc w:val="left"/>
            </w:pPr>
            <w:r>
              <w:rPr>
                <w:rFonts w:ascii="Aptos" w:hAnsi="Aptos"/>
                <w:b w:val="0"/>
                <w:i w:val="0"/>
                <w:color w:val="17202A"/>
                <w:sz w:val="18"/>
                <w:szCs w:val="18"/>
              </w:rPr>
              <w:t>La presente propuesta tendrá una vigencia de 15 días naturales a partir de su fecha de emisión.</w:t>
            </w:r>
          </w:p>
        </w:tc>
      </w:tr>
      <w:tr>
        <w:trPr>
          <w:cantSplit w:val="1"/>
        </w:trPr>
        <w:tc>
          <w:tcPr>
            <w:tcW w:type="dxa" w:w="2011"/>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shd w:fill="FFFFFF" w:val="clear"/>
            <w:vAlign w:val="center"/>
          </w:tcPr>
          <w:p>
            <w:pPr>
              <w:spacing w:after="0" w:line="240" w:lineRule="auto"/>
            </w:pPr>
            <w:r>
              <w:rPr>
                <w:rFonts w:ascii="Aptos" w:hAnsi="Aptos"/>
                <w:b/>
                <w:color w:val="071827"/>
                <w:sz w:val="18"/>
                <w:szCs w:val="18"/>
              </w:rPr>
              <w:t>Forma de pago</w:t>
            </w:r>
          </w:p>
        </w:tc>
        <w:tc>
          <w:tcPr>
            <w:tcW w:type="dxa" w:w="8528"/>
            <w:tcMar>
              <w:top w:w="90" w:type="dxa"/>
              <w:start w:w="110" w:type="dxa"/>
              <w:bottom w:w="90" w:type="dxa"/>
              <w:end w:w="110" w:type="dxa"/>
            </w:tcM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vAlign w:val="center"/>
            <w:shd w:fill="FFFFFF" w:val="clear"/>
          </w:tcPr>
          <w:p>
            <w:r>
              <w:rPr>
                <w:sz w:val="18"/>
                <w:szCs w:val="18"/>
              </w:rPr>
              <w:t>Al contratar, el cliente podrá seleccionar una de las dos modalidades disponibles:</w:t>
              <w:br/>
              <w:t>☐  PAGO ÚNICO  $5,500.00 MXN al contratar la inspección.</w:t>
              <w:br/>
              <w:t>☐  DOS PAGOS 50/50  $2,750.00 MXN al contratar la inspección y $2,750.00 MXN antes de iniciar la inspección en el inmueble.</w:t>
            </w:r>
          </w:p>
        </w:tc>
      </w:tr>
      <w:tr>
        <w:trPr>
          <w:cantSplit w:val="1"/>
        </w:trPr>
        <w:tc>
          <w:tcPr>
            <w:tcW w:type="dxa" w:w="2011"/>
            <w:vAlign w:val="center"/>
            <w:tcMar>
              <w:top w:w="90" w:type="dxa"/>
              <w:start w:w="110" w:type="dxa"/>
              <w:bottom w:w="90" w:type="dxa"/>
              <w:end w:w="110" w:type="dxa"/>
            </w:tcMar>
            <w:shd w:fill="FFFFFF" w:val="cle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after="0" w:line="240" w:lineRule="auto"/>
            </w:pPr>
            <w:r>
              <w:rPr>
                <w:rFonts w:ascii="Aptos" w:hAnsi="Aptos"/>
                <w:b/>
                <w:color w:val="071827"/>
                <w:sz w:val="18"/>
                <w:szCs w:val="18"/>
              </w:rPr>
              <w:t>Condición de pago</w:t>
            </w:r>
          </w:p>
        </w:tc>
        <w:tc>
          <w:tcPr>
            <w:tcW w:type="dxa" w:w="8528"/>
            <w:vAlign w:val="center"/>
            <w:tcMar>
              <w:top w:w="90" w:type="dxa"/>
              <w:start w:w="110" w:type="dxa"/>
              <w:bottom w:w="90" w:type="dxa"/>
              <w:end w:w="110" w:type="dxa"/>
            </w:tcMar>
            <w:shd w:fill="FFFFFF" w:val="cle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after="0" w:line="240" w:lineRule="auto"/>
            </w:pPr>
            <w:r>
              <w:rPr>
                <w:rFonts w:ascii="Aptos" w:hAnsi="Aptos"/>
                <w:b w:val="0"/>
                <w:color w:val="17202A"/>
                <w:sz w:val="18"/>
              </w:rPr>
            </w:r>
            <w:r>
              <w:rPr>
                <w:rFonts w:ascii="Aptos" w:hAnsi="Aptos"/>
                <w:b w:val="0"/>
                <w:color w:val="17202A"/>
                <w:sz w:val="18"/>
                <w:szCs w:val="18"/>
              </w:rPr>
              <w:t>La contratación y programación quedan confirmadas con el pago requerido por la modalidad seleccionada. En la modalidad 50/50, el segundo pago deberá estar cubierto antes de que el inspector inicie la inspección. No se contemplan otras modalidades de pago dentro de esta cotización, salvo autorización expresa por escrito de Certeza Habitacional.</w:t>
            </w:r>
          </w:p>
        </w:tc>
      </w:tr>
      <w:tr>
        <w:trPr>
          <w:cantSplit w:val="1"/>
        </w:trPr>
        <w:tc>
          <w:tcPr>
            <w:tcW w:type="dxa" w:w="2011"/>
            <w:vAlign w:val="center"/>
            <w:tcMar>
              <w:top w:w="90" w:type="dxa"/>
              <w:start w:w="110" w:type="dxa"/>
              <w:bottom w:w="90" w:type="dxa"/>
              <w:end w:w="110" w:type="dxa"/>
            </w:tcMar>
            <w:shd w:fill="FFFFFF" w:val="cle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pPr>
              <w:spacing w:after="0" w:line="240" w:lineRule="auto"/>
            </w:pPr>
            <w:r>
              <w:rPr>
                <w:rFonts w:ascii="Aptos" w:hAnsi="Aptos"/>
                <w:b/>
                <w:color w:val="071827"/>
                <w:sz w:val="18"/>
                <w:szCs w:val="18"/>
              </w:rPr>
              <w:t>Facturación</w:t>
            </w:r>
          </w:p>
        </w:tc>
        <w:tc>
          <w:tcPr>
            <w:tcW w:type="dxa" w:w="8528"/>
            <w:vAlign w:val="center"/>
            <w:tcMar>
              <w:top w:w="90" w:type="dxa"/>
              <w:start w:w="110" w:type="dxa"/>
              <w:bottom w:w="90" w:type="dxa"/>
              <w:end w:w="110" w:type="dxa"/>
            </w:tcMar>
            <w:shd w:fill="FFFFFF" w:val="clear"/>
            <w:tcBorders>
              <w:top w:val="single" w:sz="5" w:space="0" w:color="B8C0CC"/>
              <w:left w:val="single" w:sz="5" w:space="0" w:color="B8C0CC"/>
              <w:bottom w:val="single" w:sz="5" w:space="0" w:color="B8C0CC"/>
              <w:right w:val="single" w:sz="5" w:space="0" w:color="B8C0CC"/>
              <w:insideH w:val="single" w:sz="5" w:space="0" w:color="B8C0CC"/>
              <w:insideV w:val="single" w:sz="5" w:space="0" w:color="B8C0CC"/>
            </w:tcBorders>
          </w:tcPr>
          <w:p>
            <w:r/>
            <w:rPr>
              <w:sz w:val="18"/>
              <w:szCs w:val="18"/>
            </w:rPr>
            <w:r>
              <w:t>En caso de requerir factura, al importe de $5,500.00 MXN se adicionará el IVA correspondiente.</w:t>
            </w:r>
          </w:p>
        </w:tc>
      </w:tr>
    </w:tbl>
    <w:p>
      <w:pPr>
        <w:keepNext/>
        <w:spacing w:before="160" w:after="100"/>
      </w:pPr>
      <w:r>
        <w:rPr>
          <w:rFonts w:ascii="Aptos Display" w:hAnsi="Aptos Display"/>
          <w:b/>
          <w:color w:val="071827"/>
          <w:sz w:val="25"/>
        </w:rPr>
        <w:t>9. ACEPTACIÓN DE LA PROPUESTA</w:t>
      </w:r>
    </w:p>
    <w:p>
      <w:pPr>
        <w:spacing w:before="0" w:after="100" w:line="259" w:lineRule="auto"/>
      </w:pPr>
      <w:r>
        <w:t>Para aceptar esta propuesta, responde al correo de envío indicando “ACEPTO”, la modalidad de pago elegida (pago único o 50/50) y un teléfono de contacto. La aceptación confirma la conformidad con los alcances, limitaciones, precio y condiciones descritos.</w:t>
      </w:r>
    </w:p>
    <w:p>
      <w:r>
        <w:br w:type="page"/>
      </w:r>
    </w:p>
    <w:p>
      <w:pPr>
        <w:keepNext/>
        <w:spacing w:before="160" w:after="100"/>
      </w:pPr>
      <w:r>
        <w:rPr>
          <w:rFonts w:ascii="Aptos Display" w:hAnsi="Aptos Display"/>
          <w:b/>
          <w:color w:val="071827"/>
          <w:sz w:val="25"/>
        </w:rPr>
        <w:t>10. CARÁCTER PRELIMINAR Y VALIDACIÓN</w:t>
      </w:r>
    </w:p>
    <w:p>
      <w:pPr>
        <w:spacing w:before="0" w:after="100" w:line="259" w:lineRule="auto"/>
      </w:pPr>
      <w:r>
        <w:t>Esta pre cotización se genera automáticamente con base en la información declarada por el solicitante. Certeza Habitacional no ha validado todavía las características, condiciones, superficies, instalaciones, accesos ni requerimientos particulares del inmueble. Por lo anterior, el alcance y el importe indicados quedan sujetos a revisión y podrán ser ratificados, ajustados o sustituidos una vez validada la información proporcionada y, cuando resulte necesario, las condiciones específicas del servicio.</w:t>
      </w:r>
    </w:p>
    <w:p>
      <w:pPr>
        <w:keepNext/>
        <w:spacing w:before="160" w:after="100"/>
      </w:pPr>
      <w:r>
        <w:rPr>
          <w:rFonts w:ascii="Aptos Display" w:hAnsi="Aptos Display"/>
          <w:b/>
          <w:color w:val="071827"/>
          <w:sz w:val="25"/>
        </w:rPr>
        <w:t>11. REQUISITOS PARA PROGRAMACIÓN Y EJECUCIÓN</w:t>
      </w:r>
    </w:p>
    <w:p>
      <w:pPr>
        <w:spacing w:before="0" w:after="100" w:line="259" w:lineRule="auto"/>
      </w:pPr>
      <w:r>
        <w:t>• Anticipación mínima: la inspección deberá contratarse con al menos 3 días de anticipación respecto de la fecha en que se requiera el servicio.</w:t>
      </w:r>
    </w:p>
    <w:p>
      <w:pPr>
        <w:spacing w:before="0" w:after="100" w:line="259" w:lineRule="auto"/>
      </w:pPr>
      <w:r>
        <w:t>• Información previa: el contratante deberá proporcionar, con la mayor anticipación posible, toda la información disponible del inmueble, incluyendo proyectos, planos, especificaciones, memorias, requerimientos especiales y cualquier antecedente que pueda ser relevante para la inspección.</w:t>
      </w:r>
    </w:p>
    <w:p>
      <w:pPr>
        <w:spacing w:before="0" w:after="100" w:line="259" w:lineRule="auto"/>
      </w:pPr>
      <w:r>
        <w:t>• Condiciones durante la visita: se recomienda notificar a quien entregará la vivienda que durante la inspección estén presentes únicamente el contratante del servicio y el personal de Certeza Habitacional, a fin de realizar la revisión con mayor libertad, independencia y concentración.</w:t>
      </w:r>
    </w:p>
    <w:p>
      <w:pPr>
        <w:spacing w:before="0" w:after="100" w:line="259" w:lineRule="auto"/>
      </w:pPr>
      <w:r>
        <w:t>• Pagos: no se programará una inspección mientras no se encuentre cubierto, cuando menos, el primer pago correspondiente a la modalidad elegida. La inspección no iniciará mientras no se encuentre liquidado el 100% del importe acordado.</w:t>
      </w:r>
    </w:p>
    <w:sectPr w:rsidR="00FC693F" w:rsidRPr="0006063C" w:rsidSect="00034616">
      <w:footerReference w:type="default" r:id="rId10"/>
      <w:headerReference w:type="default" r:id="rId12"/>
      <w:pgSz w:w="12240" w:h="15840"/>
      <w:pgMar w:top="2580" w:right="850" w:bottom="1616" w:left="850"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10539"/>
      <w:jc w:val="center"/>
      <w:tblLayout w:type="fixed"/>
      <w:tblLook w:firstColumn="1" w:firstRow="1" w:lastColumn="0" w:lastRow="0" w:noHBand="0" w:noVBand="1" w:val="04A0"/>
      <w:tblBorders>
        <w:top w:val="nil"/>
        <w:left w:val="nil"/>
        <w:bottom w:val="nil"/>
        <w:right w:val="nil"/>
        <w:insideH w:val="nil"/>
        <w:insideV w:val="nil"/>
      </w:tblBorders>
    </w:tblPr>
    <w:tblGrid>
      <w:gridCol w:w="1020"/>
      <w:gridCol w:w="7818"/>
      <w:gridCol w:w="1701"/>
    </w:tblGrid>
    <w:tr>
      <w:tc>
        <w:tcPr>
          <w:tcW w:type="dxa" w:w="1020"/>
          <w:shd w:fill="071A2A" w:val="clear"/>
          <w:vAlign w:val="center"/>
          <w:tcMar>
            <w:top w:w="75" w:type="dxa"/>
            <w:start w:w="65" w:type="dxa"/>
            <w:bottom w:w="75" w:type="dxa"/>
            <w:end w:w="65" w:type="dxa"/>
          </w:tcMar>
        </w:tcPr>
        <w:p>
          <w:pPr>
            <w:spacing w:before="0" w:after="0"/>
            <w:jc w:val="left"/>
          </w:pPr>
          <w:r>
            <w:rPr>
              <w:b/>
              <w:color w:val="FFFFFF"/>
              <w:sz w:val="14"/>
            </w:rPr>
            <w:t>CH-F-002</w:t>
          </w:r>
        </w:p>
      </w:tc>
      <w:tc>
        <w:tcPr>
          <w:tcW w:type="dxa" w:w="7818"/>
          <w:shd w:fill="071A2A" w:val="clear"/>
          <w:vAlign w:val="center"/>
          <w:tcMar>
            <w:top w:w="75" w:type="dxa"/>
            <w:start w:w="65" w:type="dxa"/>
            <w:bottom w:w="75" w:type="dxa"/>
            <w:end w:w="65" w:type="dxa"/>
          </w:tcMar>
        </w:tcPr>
        <w:p>
          <w:pPr>
            <w:spacing w:before="0" w:after="0"/>
            <w:jc w:val="center"/>
          </w:pPr>
          <w:r>
            <w:rPr>
              <w:color w:val="FFFFFF"/>
              <w:sz w:val="13"/>
            </w:rPr>
            <w:t>contacto@certezahabitacional.com   |   656 287 12 18   |   Monte Apeninos 6436, Col. La Cuesta, Ciudad Juárez, Chihuahua</w:t>
          </w:r>
        </w:p>
      </w:tc>
      <w:tc>
        <w:tcPr>
          <w:tcW w:type="dxa" w:w="1701"/>
          <w:shd w:fill="071A2A" w:val="clear"/>
          <w:vAlign w:val="center"/>
          <w:tcMar>
            <w:top w:w="75" w:type="dxa"/>
            <w:start w:w="65" w:type="dxa"/>
            <w:bottom w:w="75" w:type="dxa"/>
            <w:end w:w="65" w:type="dxa"/>
          </w:tcMar>
        </w:tcPr>
        <w:p>
          <w:pPr>
            <w:spacing w:before="0" w:after="0"/>
            <w:jc w:val="right"/>
          </w:pPr>
          <w:r>
            <w:rPr>
              <w:color w:val="FFFFFF"/>
              <w:sz w:val="14"/>
            </w:rPr>
            <w:t xml:space="preserve">Pág. </w:t>
          </w:r>
          <w:fldSimple w:instr="PAGE">
            <w:r>
              <w:rPr>
                <w:color w:val="FFFFFF"/>
                <w:sz w:val="15"/>
                <w:szCs w:val="15"/>
              </w:rPr>
              <w:t>1</w:t>
            </w:r>
          </w:fldSimple>
          <w:r>
            <w:rPr>
              <w:color w:val="FFFFFF"/>
              <w:sz w:val="14"/>
            </w:rPr>
            <w:t xml:space="preserve"> / </w:t>
          </w:r>
          <w:fldSimple w:instr="NUMPAGES">
            <w:r>
              <w:rPr>
                <w:color w:val="FFFFFF"/>
                <w:sz w:val="15"/>
                <w:szCs w:val="15"/>
              </w:rPr>
              <w:t>7</w:t>
            </w:r>
          </w:fldSimpl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10539"/>
      <w:jc w:val="center"/>
      <w:tblLayout w:type="fixed"/>
      <w:tblLook w:firstColumn="1" w:firstRow="1" w:lastColumn="0" w:lastRow="0" w:noHBand="0" w:noVBand="1" w:val="04A0"/>
      <w:tblBorders>
        <w:top w:val="nil"/>
        <w:left w:val="nil"/>
        <w:bottom w:val="nil"/>
        <w:right w:val="nil"/>
        <w:insideH w:val="nil"/>
        <w:insideV w:val="nil"/>
      </w:tblBorders>
    </w:tblPr>
    <w:tblGrid>
      <w:gridCol w:w="1389"/>
      <w:gridCol w:w="5102"/>
      <w:gridCol w:w="4048"/>
    </w:tblGrid>
    <w:tr>
      <w:tc>
        <w:tcPr>
          <w:tcW w:type="dxa" w:w="1389"/>
          <w:shd w:fill="071A2A" w:val="clear"/>
          <w:vAlign w:val="center"/>
          <w:tcMar>
            <w:top w:w="110" w:type="dxa"/>
            <w:start w:w="120" w:type="dxa"/>
            <w:bottom w:w="110" w:type="dxa"/>
            <w:end w:w="120" w:type="dxa"/>
          </w:tcMar>
        </w:tcPr>
        <w:p>
          <w:pPr>
            <w:spacing w:before="0" w:after="0"/>
            <w:jc w:val="center"/>
          </w:pPr>
          <w:r>
            <w:drawing>
              <wp:inline xmlns:a="http://schemas.openxmlformats.org/drawingml/2006/main" xmlns:pic="http://schemas.openxmlformats.org/drawingml/2006/picture">
                <wp:extent cx="737999" cy="737999"/>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737999" cy="737999"/>
                        </a:xfrm>
                        <a:prstGeom prst="rect"/>
                      </pic:spPr>
                    </pic:pic>
                  </a:graphicData>
                </a:graphic>
              </wp:inline>
            </w:drawing>
          </w:r>
        </w:p>
      </w:tc>
      <w:tc>
        <w:tcPr>
          <w:tcW w:type="dxa" w:w="5102"/>
          <w:shd w:fill="071A2A" w:val="clear"/>
          <w:vAlign w:val="center"/>
          <w:tcMar>
            <w:top w:w="110" w:type="dxa"/>
            <w:start w:w="120" w:type="dxa"/>
            <w:bottom w:w="110" w:type="dxa"/>
            <w:end w:w="120" w:type="dxa"/>
          </w:tcMar>
        </w:tcPr>
        <w:p>
          <w:pPr>
            <w:spacing w:before="0" w:after="0"/>
            <w:jc w:val="left"/>
          </w:pPr>
          <w:r>
            <w:rPr>
              <w:b/>
              <w:color w:val="FFFFFF"/>
              <w:sz w:val="28"/>
            </w:rPr>
            <w:t>CERTEZA HABITACIONAL</w:t>
            <w:br/>
          </w:r>
          <w:r>
            <w:rPr>
              <w:b/>
              <w:color w:val="D9A52E"/>
              <w:sz w:val="17"/>
            </w:rPr>
            <w:t>Inspección técnica de viviendas</w:t>
            <w:br/>
          </w:r>
          <w:r>
            <w:rPr>
              <w:color w:val="FFFFFF"/>
              <w:sz w:val="15"/>
            </w:rPr>
            <w:t>Revisamos cada rincón antes de que des el sí</w:t>
          </w:r>
        </w:p>
      </w:tc>
      <w:tc>
        <w:tcPr>
          <w:tcW w:type="dxa" w:w="4048"/>
          <w:shd w:fill="071A2A" w:val="clear"/>
          <w:vAlign w:val="center"/>
          <w:tcMar>
            <w:top w:w="110" w:type="dxa"/>
            <w:start w:w="120" w:type="dxa"/>
            <w:bottom w:w="110" w:type="dxa"/>
            <w:end w:w="120" w:type="dxa"/>
          </w:tcMar>
        </w:tcPr>
        <w:p>
          <w:pPr>
            <w:spacing w:before="0" w:after="0"/>
            <w:jc w:val="right"/>
          </w:pPr>
          <w:r>
            <w:rPr>
              <w:b/>
              <w:color w:val="D9A52E"/>
              <w:sz w:val="22"/>
            </w:rPr>
            <w:t>COTIZACIÓN DE SERVICIOS</w:t>
            <w:br/>
          </w:r>
          <w:r>
            <w:rPr>
              <w:b/>
              <w:color w:val="FFFFFF"/>
              <w:sz w:val="15"/>
            </w:rPr>
            <w:t xml:space="preserve">Folio: </w:t>
          </w:r>
          <w:r>
            <w:rPr>
              <w:color w:val="FFFFFF"/>
              <w:sz w:val="15"/>
            </w:rPr>
            <w:t>CH-COT-2026-4D0966B2</w:t>
            <w:br/>
          </w:r>
          <w:r>
            <w:rPr>
              <w:b/>
              <w:color w:val="FFFFFF"/>
              <w:sz w:val="15"/>
            </w:rPr>
            <w:t xml:space="preserve">Fecha: </w:t>
          </w:r>
          <w:r>
            <w:rPr>
              <w:color w:val="FFFFFF"/>
              <w:sz w:val="15"/>
            </w:rPr>
            <w:t>09/09/2026</w:t>
            <w:br/>
          </w:r>
          <w:r>
            <w:rPr>
              <w:b/>
              <w:color w:val="FFFFFF"/>
              <w:sz w:val="15"/>
            </w:rPr>
            <w:t xml:space="preserve">Vigencia: </w:t>
          </w:r>
          <w:r>
            <w:rPr>
              <w:color w:val="FFFFFF"/>
              <w:sz w:val="15"/>
            </w:rPr>
            <w:t>15 días</w:t>
            <w:br/>
          </w:r>
          <w:r>
            <w:rPr>
              <w:b/>
              <w:color w:val="FFFFFF"/>
              <w:sz w:val="15"/>
            </w:rPr>
            <w:t xml:space="preserve">Responsable: </w:t>
          </w:r>
          <w:r>
            <w:rPr>
              <w:color w:val="FFFFFF"/>
              <w:sz w:val="15"/>
            </w:rPr>
            <w:t>Área de Cotizaciones</w:t>
            <w:br/>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018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10" Type="http://schemas.openxmlformats.org/officeDocument/2006/relationships/footer" Target="footer1.xml"/><Relationship Id="rId1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Cotización de Servicios - Certeza Habitacional</dc:title>
  <dc:subject>Plantilla institucional de cotización para inspección técnica de viviendas</dc:subject>
  <dc:creator>Certeza Habitacional</dc:creator>
  <cp:keywords>Certeza Habitacional, cotización, inspección técnica, vivienda</cp:keywords>
  <dc:description>generated by python-docx</dc:description>
  <cp:lastModifiedBy/>
  <cp:revision>1</cp:revision>
  <dcterms:created xsi:type="dcterms:W3CDTF">2013-12-23T23:15:00Z</dcterms:created>
  <dcterms:modified xsi:type="dcterms:W3CDTF">2013-12-23T23:15:00Z</dcterms:modified>
  <cp:category/>
</cp:coreProperties>
</file>