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before="0" w:after="0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20000" cy="6897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niger-certif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689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</w:tcPr>
          <w:p>
            <w:pPr>
              <w:spacing w:before="0" w:after="40"/>
            </w:pPr>
            <w:r/>
            <w:r>
              <w:rPr>
                <w:rFonts w:ascii="Calibri" w:hAnsi="Calibri"/>
                <w:b/>
                <w:color w:val="FF7900"/>
                <w:sz w:val="24"/>
              </w:rPr>
              <w:t>NIGER</w:t>
            </w:r>
            <w:r>
              <w:rPr>
                <w:rFonts w:ascii="Calibri" w:hAnsi="Calibri"/>
                <w:b/>
                <w:color w:val="0055D2"/>
                <w:sz w:val="24"/>
              </w:rPr>
              <w:t xml:space="preserve"> CERTIFY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224B"/>
                <w:sz w:val="20"/>
              </w:rPr>
              <w:t>Niger, Niamey SONUCI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00224B"/>
                <w:sz w:val="20"/>
              </w:rPr>
              <w:t>Tel: 94107074</w:t>
            </w:r>
          </w:p>
        </w:tc>
        <w:tc>
          <w:tcPr>
            <w:tcW w:type="dxa" w:w="3402"/>
          </w:tcPr>
          <w:p>
            <w:r/>
          </w:p>
          <w:p>
            <w:pPr>
              <w:spacing w:before="20" w:after="20"/>
            </w:pPr>
            <w:r>
              <w:rPr>
                <w:rFonts w:ascii="Calibri" w:hAnsi="Calibri"/>
                <w:b/>
                <w:color w:val="00224B"/>
                <w:sz w:val="18"/>
              </w:rPr>
              <w:t>Date: 25/08/2026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color w:val="00224B"/>
                <w:sz w:val="18"/>
              </w:rPr>
              <w:t>Téléphone: 20 35 01 73</w:t>
            </w:r>
          </w:p>
          <w:p>
            <w:pPr>
              <w:spacing w:before="20" w:after="20"/>
            </w:pPr>
            <w:r>
              <w:rPr>
                <w:rFonts w:ascii="Calibri" w:hAnsi="Calibri"/>
                <w:b/>
                <w:color w:val="00224B"/>
                <w:sz w:val="18"/>
              </w:rPr>
              <w:t>Email: info@anperniger.org</w:t>
            </w:r>
          </w:p>
        </w:tc>
      </w:tr>
    </w:tbl>
    <w:p>
      <w:pPr>
        <w:spacing w:before="80" w:after="40"/>
      </w:pPr>
      <w:r>
        <w:rPr>
          <w:rFonts w:ascii="Calibri" w:hAnsi="Calibri"/>
          <w:b/>
          <w:color w:val="00224B"/>
          <w:sz w:val="22"/>
        </w:rPr>
        <w:t>Proforma: 00006    Client: ANPER NIGER</w:t>
      </w:r>
    </w:p>
    <w:p>
      <w:pPr>
        <w:spacing w:before="160" w:after="40"/>
        <w:jc w:val="center"/>
      </w:pPr>
      <w:r>
        <w:rPr>
          <w:rFonts w:ascii="Calibri" w:hAnsi="Calibri"/>
          <w:b/>
          <w:color w:val="E36C09"/>
          <w:sz w:val="32"/>
        </w:rPr>
        <w:t>Proposition de formation — Community Manager</w:t>
      </w:r>
    </w:p>
    <w:p>
      <w:pPr>
        <w:spacing w:before="0" w:after="160"/>
        <w:jc w:val="center"/>
      </w:pPr>
      <w:r>
        <w:rPr>
          <w:rFonts w:ascii="Calibri" w:hAnsi="Calibri"/>
          <w:b/>
          <w:color w:val="00224B"/>
          <w:sz w:val="20"/>
        </w:rPr>
        <w:t>1 participant · Mixte (présentiel Lomé + visio) · Hébergement &amp; restauration inclus · 15–26/09/2026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0224B"/>
                <w:sz w:val="18"/>
              </w:rPr>
              <w:t>Profil: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sz w:val="18"/>
              </w:rPr>
              <w:t>Community Manager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0224B"/>
                <w:sz w:val="18"/>
              </w:rPr>
              <w:t>Effectif: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sz w:val="18"/>
              </w:rPr>
              <w:t>1 personne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0224B"/>
                <w:sz w:val="18"/>
              </w:rPr>
              <w:t>Durée: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sz w:val="18"/>
              </w:rPr>
              <w:t>2 semaines / 70 h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0224B"/>
                <w:sz w:val="18"/>
              </w:rPr>
              <w:t>Modalité: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sz w:val="18"/>
              </w:rPr>
              <w:t>Mixte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0224B"/>
                <w:sz w:val="18"/>
              </w:rPr>
              <w:t>Lieu présentiel: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sz w:val="18"/>
              </w:rPr>
              <w:t>Lomé, Togo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0224B"/>
                <w:sz w:val="18"/>
              </w:rPr>
              <w:t>Début / Fin: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sz w:val="18"/>
              </w:rPr>
              <w:t>15–26/09/2026</w:t>
            </w:r>
          </w:p>
        </w:tc>
      </w:tr>
      <w:tr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0224B"/>
                <w:sz w:val="18"/>
              </w:rPr>
              <w:t>Hébergement + repas: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sz w:val="18"/>
              </w:rPr>
              <w:t>Inclus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0224B"/>
                <w:sz w:val="18"/>
              </w:rPr>
              <w:t>Vols A/R:</w:t>
            </w:r>
          </w:p>
        </w:tc>
        <w:tc>
          <w:tcPr>
            <w:tcW w:type="dxa" w:w="255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sz w:val="18"/>
              </w:rPr>
              <w:t>Non inclus</w:t>
            </w:r>
          </w:p>
        </w:tc>
      </w:tr>
    </w:tbl>
    <w:p>
      <w:pPr>
        <w:spacing w:before="120" w:after="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000000" w:space="0"/>
          <w:left w:val="single" w:sz="8" w:color="000000" w:space="0"/>
          <w:bottom w:val="single" w:sz="8" w:color="000000" w:space="0"/>
          <w:right w:val="single" w:sz="8" w:color="000000" w:space="0"/>
          <w:insideH w:val="single" w:sz="8" w:color="000000" w:space="0"/>
          <w:insideV w:val="single" w:sz="8" w:color="000000" w:space="0"/>
        </w:tblBorders>
      </w:tblPr>
      <w:tblGrid>
        <w:gridCol w:w="5103"/>
        <w:gridCol w:w="5103"/>
      </w:tblGrid>
      <w:tr>
        <w:tc>
          <w:tcPr>
            <w:tcW w:type="dxa" w:w="5103"/>
            <w:shd w:fill="E46C0A" w:val="clear"/>
          </w:tcPr>
          <w:p>
            <w:pPr>
              <w:spacing w:before="80" w:after="80"/>
              <w:jc w:val="left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Prestations</w:t>
            </w:r>
          </w:p>
        </w:tc>
        <w:tc>
          <w:tcPr>
            <w:tcW w:type="dxa" w:w="5103"/>
            <w:shd w:fill="E46C0A" w:val="clear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Montant (FCFA)</w:t>
            </w:r>
          </w:p>
        </w:tc>
      </w:tr>
      <w:tr>
        <w:tc>
          <w:tcPr>
            <w:tcW w:type="dxa" w:w="5103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18"/>
              </w:rPr>
              <w:t>Formation Community Manager mixte — 10 jours / 70 h (présentiel Lomé + sessions visio, coaching live)</w:t>
            </w:r>
          </w:p>
        </w:tc>
        <w:tc>
          <w:tcPr>
            <w:tcW w:type="dxa" w:w="5103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1 500 000</w:t>
            </w:r>
          </w:p>
        </w:tc>
      </w:tr>
      <w:tr>
        <w:tc>
          <w:tcPr>
            <w:tcW w:type="dxa" w:w="5103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18"/>
              </w:rPr>
              <w:t>Supports pédagogiques, plateforme virtuelle, ateliers pratiques &amp; attestation</w:t>
            </w:r>
          </w:p>
        </w:tc>
        <w:tc>
          <w:tcPr>
            <w:tcW w:type="dxa" w:w="5103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250 000</w:t>
            </w:r>
          </w:p>
        </w:tc>
      </w:tr>
      <w:tr>
        <w:tc>
          <w:tcPr>
            <w:tcW w:type="dxa" w:w="5103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18"/>
              </w:rPr>
              <w:t>Hébergement 14 nuits à Lomé (hôtel affaires, petit-déjeuner inclus)</w:t>
            </w:r>
          </w:p>
        </w:tc>
        <w:tc>
          <w:tcPr>
            <w:tcW w:type="dxa" w:w="5103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700 000</w:t>
            </w:r>
          </w:p>
        </w:tc>
      </w:tr>
      <w:tr>
        <w:tc>
          <w:tcPr>
            <w:tcW w:type="dxa" w:w="5103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18"/>
              </w:rPr>
              <w:t>Restauration complète (déjeuner + dîner) — 14 jours</w:t>
            </w:r>
          </w:p>
        </w:tc>
        <w:tc>
          <w:tcPr>
            <w:tcW w:type="dxa" w:w="5103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560 000</w:t>
            </w:r>
          </w:p>
        </w:tc>
      </w:tr>
      <w:tr>
        <w:tc>
          <w:tcPr>
            <w:tcW w:type="dxa" w:w="5103"/>
          </w:tcPr>
          <w:p>
            <w:pPr>
              <w:spacing w:before="60" w:after="60"/>
            </w:pPr>
            <w:r/>
            <w:r>
              <w:rPr>
                <w:rFonts w:ascii="Calibri" w:hAnsi="Calibri"/>
                <w:b w:val="0"/>
                <w:sz w:val="18"/>
              </w:rPr>
              <w:t>Coordination pédagogique, logistique locale &amp; suivi post-formation (30 jours)</w:t>
            </w:r>
          </w:p>
        </w:tc>
        <w:tc>
          <w:tcPr>
            <w:tcW w:type="dxa" w:w="5103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490 000</w:t>
            </w:r>
          </w:p>
        </w:tc>
      </w:tr>
      <w:tr>
        <w:tc>
          <w:tcPr>
            <w:tcW w:type="dxa" w:w="5103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sz w:val="18"/>
              </w:rPr>
              <w:t>TOTAL TTC</w:t>
            </w:r>
          </w:p>
        </w:tc>
        <w:tc>
          <w:tcPr>
            <w:tcW w:type="dxa" w:w="5103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sz w:val="18"/>
              </w:rPr>
              <w:t>3 500 000</w:t>
            </w:r>
          </w:p>
        </w:tc>
      </w:tr>
    </w:tbl>
    <w:p>
      <w:pPr>
        <w:spacing w:before="120" w:after="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000000" w:space="0"/>
          <w:left w:val="single" w:sz="6" w:color="000000" w:space="0"/>
          <w:bottom w:val="single" w:sz="6" w:color="000000" w:space="0"/>
          <w:right w:val="single" w:sz="6" w:color="000000" w:space="0"/>
          <w:insideH w:val="single" w:sz="6" w:color="000000" w:space="0"/>
          <w:insideV w:val="single" w:sz="6" w:color="000000" w:space="0"/>
        </w:tblBorders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Montant HT</w:t>
            </w:r>
          </w:p>
        </w:tc>
        <w:tc>
          <w:tcPr>
            <w:tcW w:type="dxa" w:w="510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3 500 000</w:t>
            </w:r>
          </w:p>
        </w:tc>
      </w:tr>
      <w:tr>
        <w:tc>
          <w:tcPr>
            <w:tcW w:type="dxa" w:w="510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ISB (2%)</w:t>
            </w:r>
          </w:p>
        </w:tc>
        <w:tc>
          <w:tcPr>
            <w:tcW w:type="dxa" w:w="510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70 000</w:t>
            </w:r>
          </w:p>
        </w:tc>
      </w:tr>
      <w:tr>
        <w:tc>
          <w:tcPr>
            <w:tcW w:type="dxa" w:w="510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Net à payer TTC :</w:t>
            </w:r>
          </w:p>
        </w:tc>
        <w:tc>
          <w:tcPr>
            <w:tcW w:type="dxa" w:w="510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3 500 000</w:t>
            </w:r>
          </w:p>
        </w:tc>
      </w:tr>
    </w:tbl>
    <w:p>
      <w:pPr>
        <w:spacing w:before="160" w:after="60"/>
      </w:pPr>
      <w:r>
        <w:rPr>
          <w:rFonts w:ascii="Calibri" w:hAnsi="Calibri"/>
          <w:b w:val="0"/>
          <w:sz w:val="18"/>
        </w:rPr>
        <w:t>Programme mixte : S1 présentiel (fondations &amp; contenus) ; S1 visio (diffusion multi-plateformes) ; S2 présentiel (animation, crise, KPIs) ; S2 mixte (mise en situation ANPER + restitution).</w:t>
      </w:r>
    </w:p>
    <w:p>
      <w:pPr>
        <w:spacing w:before="80" w:after="80"/>
      </w:pPr>
      <w:r>
        <w:rPr>
          <w:rFonts w:ascii="Calibri" w:hAnsi="Calibri"/>
          <w:b w:val="0"/>
          <w:color w:val="555555"/>
          <w:sz w:val="16"/>
        </w:rPr>
        <w:t>Inclus : formation mixte, supports, plateforme, hébergement, petit-déj., déjeuners &amp; dîners, suivi 30 j. Non inclus : billets d’avion A/R. Offre valable 30 jours.</w:t>
      </w:r>
    </w:p>
    <w:p>
      <w:pPr>
        <w:spacing w:before="120" w:after="80"/>
      </w:pPr>
      <w:r>
        <w:rPr>
          <w:rFonts w:ascii="Arial" w:hAnsi="Arial"/>
          <w:b w:val="0"/>
          <w:sz w:val="18"/>
        </w:rPr>
        <w:t>Arrêtée à la somme de trois millions cinq cent mille (3 500 000) francs CFA TTC, ISB (2%) inclus et prélevé à la source.</w:t>
      </w:r>
    </w:p>
    <w:p>
      <w:pPr>
        <w:spacing w:before="80" w:after="60"/>
      </w:pPr>
      <w:r>
        <w:rPr>
          <w:rFonts w:ascii="Calibri" w:hAnsi="Calibri"/>
          <w:b/>
          <w:sz w:val="26"/>
        </w:rPr>
        <w:t>Compte: SONIBANK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Code banque</w:t>
            </w:r>
          </w:p>
        </w:tc>
        <w:tc>
          <w:tcPr>
            <w:tcW w:type="dxa" w:w="2551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Code guichet</w:t>
            </w:r>
          </w:p>
        </w:tc>
        <w:tc>
          <w:tcPr>
            <w:tcW w:type="dxa" w:w="2551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N° Compte</w:t>
            </w:r>
          </w:p>
        </w:tc>
        <w:tc>
          <w:tcPr>
            <w:tcW w:type="dxa" w:w="2551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Clé RIB</w:t>
            </w:r>
          </w:p>
        </w:tc>
      </w:tr>
      <w:tr>
        <w:tc>
          <w:tcPr>
            <w:tcW w:type="dxa" w:w="2551"/>
          </w:tcPr>
          <w:p>
            <w:pPr>
              <w:spacing w:before="40" w:after="8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NE064</w:t>
            </w:r>
          </w:p>
        </w:tc>
        <w:tc>
          <w:tcPr>
            <w:tcW w:type="dxa" w:w="2551"/>
          </w:tcPr>
          <w:p>
            <w:pPr>
              <w:spacing w:before="40" w:after="8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01001</w:t>
            </w:r>
          </w:p>
        </w:tc>
        <w:tc>
          <w:tcPr>
            <w:tcW w:type="dxa" w:w="2551"/>
          </w:tcPr>
          <w:p>
            <w:pPr>
              <w:spacing w:before="40" w:after="8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25112911331</w:t>
            </w:r>
          </w:p>
        </w:tc>
        <w:tc>
          <w:tcPr>
            <w:tcW w:type="dxa" w:w="2551"/>
          </w:tcPr>
          <w:p>
            <w:pPr>
              <w:spacing w:before="40" w:after="80"/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5103"/>
          </w:tcPr>
          <w:p/>
        </w:tc>
        <w:tc>
          <w:tcPr>
            <w:tcW w:type="dxa" w:w="5103"/>
          </w:tcPr>
          <w:p>
            <w:pPr>
              <w:spacing w:before="120" w:after="0"/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07999" cy="10543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chet-niger-certif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54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612000" cy="81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d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8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1906" w:h="16838"/>
      <w:pgMar w:top="62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