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23272B"/>
          <w:bottom w:val="single" w:sz="4" w:space="6" w:color="23272B"/>
        </w:pBdr>
        <w:spacing w:before="0" w:after="120" w:line="240" w:lineRule="auto"/>
        <w:jc w:val="center"/>
      </w:pPr>
      <w:r>
        <w:rPr>
          <w:rFonts w:ascii="Georgia" w:hAnsi="Georgia" w:cs="Georgia"/>
          <w:b/>
          <w:i w:val="0"/>
          <w:caps w:val="0"/>
          <w:color w:val="23272B"/>
          <w:spacing w:val="12"/>
          <w:sz w:val="28"/>
        </w:rPr>
        <w:t>BOUBACAR ADAMOU MOUSTAPHA</w:t>
      </w:r>
    </w:p>
    <w:p>
      <w:pPr>
        <w:spacing w:before="0" w:after="20" w:line="240" w:lineRule="auto"/>
        <w:jc w:val="center"/>
      </w:pPr>
      <w:r>
        <w:rPr>
          <w:rFonts w:ascii="Calibri" w:hAnsi="Calibri" w:cs="Calibri"/>
          <w:b w:val="0"/>
          <w:i w:val="0"/>
          <w:caps w:val="0"/>
          <w:color w:val="77706A"/>
          <w:sz w:val="15"/>
        </w:rPr>
        <w:t>Entreprise Individuelle — Commerce Général</w:t>
      </w:r>
    </w:p>
    <w:p>
      <w:pPr>
        <w:spacing w:before="0" w:after="20" w:line="240" w:lineRule="auto"/>
        <w:jc w:val="center"/>
      </w:pPr>
      <w:r>
        <w:rPr>
          <w:rFonts w:ascii="Calibri" w:hAnsi="Calibri" w:cs="Calibri"/>
          <w:b w:val="0"/>
          <w:i w:val="0"/>
          <w:caps w:val="0"/>
          <w:color w:val="77706A"/>
          <w:sz w:val="15"/>
        </w:rPr>
        <w:t>Quartier Boukoki, CUN II, Niamey  ·  Tél +227 80 91 86 06  ·  NIF 78708/P — Centre des Impôts Tourakou</w:t>
      </w:r>
    </w:p>
    <w:p>
      <w:pPr>
        <w:pBdr>
          <w:top w:val="single" w:sz="6" w:space="6" w:color="A9762F"/>
          <w:bottom w:val="single" w:sz="6" w:space="6" w:color="A9762F"/>
        </w:pBdr>
        <w:spacing w:before="120" w:after="100" w:line="240" w:lineRule="auto"/>
        <w:jc w:val="center"/>
      </w:pPr>
      <w:r>
        <w:rPr>
          <w:rFonts w:ascii="Georgia" w:hAnsi="Georgia" w:cs="Georgia"/>
          <w:b/>
          <w:i w:val="0"/>
          <w:caps w:val="0"/>
          <w:color w:val="23272B"/>
          <w:spacing w:val="14"/>
          <w:sz w:val="34"/>
        </w:rPr>
        <w:t>FACTURE PROFORMA</w:t>
      </w:r>
    </w:p>
    <w:p>
      <w:pPr>
        <w:spacing w:before="0" w:after="80" w:line="240" w:lineRule="auto"/>
        <w:jc w:val="left"/>
      </w:pPr>
      <w:r>
        <w:rPr>
          <w:sz w:val="2"/>
        </w:rPr>
      </w:r>
    </w:p>
    <w:tbl>
      <w:tblPr>
        <w:tblW w:type="dxa" w:w="9866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18" w:space="0" w:color="A9762F"/>
              <w:start w:val="nil" w:sz="0" w:space="0" w:color="auto"/>
              <w:bottom w:val="nil" w:sz="0" w:space="0" w:color="auto"/>
              <w:end w:val="single" w:sz="8" w:space="0" w:color="FFFFFF"/>
            </w:tcBorders>
            <w:shd w:val="clear" w:color="auto" w:fill="FAF6EF"/>
            <w:tcMar>
              <w:top w:w="136" w:type="dxa"/>
              <w:start w:w="170" w:type="dxa"/>
              <w:bottom w:w="136" w:type="dxa"/>
              <w:end w:w="113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77706A"/>
                <w:spacing w:val="12"/>
                <w:sz w:val="13"/>
              </w:rPr>
              <w:t>FACTURE N°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9"/>
              </w:rPr>
              <w:t>PF-2026-0915-007</w:t>
            </w:r>
          </w:p>
        </w:tc>
        <w:tc>
          <w:tcPr>
            <w:tcW w:type="dxa" w:w="2466"/>
            <w:tcBorders>
              <w:top w:val="single" w:sz="18" w:space="0" w:color="A9762F"/>
              <w:start w:val="nil" w:sz="0" w:space="0" w:color="auto"/>
              <w:bottom w:val="nil" w:sz="0" w:space="0" w:color="auto"/>
              <w:end w:val="single" w:sz="8" w:space="0" w:color="FFFFFF"/>
            </w:tcBorders>
            <w:shd w:val="clear" w:color="auto" w:fill="FAF6EF"/>
            <w:tcMar>
              <w:top w:w="136" w:type="dxa"/>
              <w:start w:w="170" w:type="dxa"/>
              <w:bottom w:w="136" w:type="dxa"/>
              <w:end w:w="113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77706A"/>
                <w:spacing w:val="12"/>
                <w:sz w:val="13"/>
              </w:rPr>
              <w:t>DATE D'ÉMISSION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9"/>
              </w:rPr>
              <w:t>15/09/2026</w:t>
            </w:r>
          </w:p>
        </w:tc>
        <w:tc>
          <w:tcPr>
            <w:tcW w:type="dxa" w:w="2466"/>
            <w:tcBorders>
              <w:top w:val="single" w:sz="18" w:space="0" w:color="A9762F"/>
              <w:start w:val="nil" w:sz="0" w:space="0" w:color="auto"/>
              <w:bottom w:val="nil" w:sz="0" w:space="0" w:color="auto"/>
              <w:end w:val="single" w:sz="8" w:space="0" w:color="FFFFFF"/>
            </w:tcBorders>
            <w:shd w:val="clear" w:color="auto" w:fill="FAF6EF"/>
            <w:tcMar>
              <w:top w:w="136" w:type="dxa"/>
              <w:start w:w="170" w:type="dxa"/>
              <w:bottom w:w="136" w:type="dxa"/>
              <w:end w:w="113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77706A"/>
                <w:spacing w:val="12"/>
                <w:sz w:val="13"/>
              </w:rPr>
              <w:t>VALABLE JUSQU'AU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9"/>
              </w:rPr>
              <w:t>15/10/2026</w:t>
            </w:r>
          </w:p>
        </w:tc>
        <w:tc>
          <w:tcPr>
            <w:tcW w:type="dxa" w:w="2466"/>
            <w:tcBorders>
              <w:top w:val="single" w:sz="18" w:space="0" w:color="A9762F"/>
              <w:start w:val="nil" w:sz="0" w:space="0" w:color="auto"/>
              <w:bottom w:val="nil" w:sz="0" w:space="0" w:color="auto"/>
              <w:end w:val="single" w:sz="8" w:space="0" w:color="FFFFFF"/>
            </w:tcBorders>
            <w:shd w:val="clear" w:color="auto" w:fill="FAF6EF"/>
            <w:tcMar>
              <w:top w:w="136" w:type="dxa"/>
              <w:start w:w="170" w:type="dxa"/>
              <w:bottom w:w="136" w:type="dxa"/>
              <w:end w:w="113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77706A"/>
                <w:spacing w:val="12"/>
                <w:sz w:val="13"/>
              </w:rPr>
              <w:t>DEVISE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9"/>
              </w:rPr>
              <w:t>Franc CFA (FCFA)</w:t>
            </w:r>
          </w:p>
        </w:tc>
      </w:tr>
    </w:tbl>
    <w:p>
      <w:pPr>
        <w:spacing w:before="0" w:after="240" w:line="240" w:lineRule="auto"/>
        <w:jc w:val="left"/>
      </w:pPr>
      <w:r>
        <w:rPr>
          <w:sz w:val="2"/>
        </w:rPr>
      </w:r>
    </w:p>
    <w:tbl>
      <w:tblPr>
        <w:tblW w:type="dxa" w:w="9866"/>
        <w:tblLayout w:type="fixed"/>
        <w:tblLook w:firstColumn="1" w:firstRow="1" w:lastColumn="0" w:lastRow="0" w:noHBand="0" w:noVBand="1" w:val="04A0"/>
      </w:tblPr>
      <w:tblGrid>
        <w:gridCol w:w="5130"/>
        <w:gridCol w:w="4736"/>
      </w:tblGrid>
      <w:tr>
        <w:tc>
          <w:tcPr>
            <w:tcW w:type="dxa" w:w="5130"/>
            <w:tcBorders>
              <w:top w:val="nil" w:sz="0" w:space="0" w:color="auto"/>
              <w:start w:val="single" w:sz="18" w:space="0" w:color="A9762F"/>
              <w:bottom w:val="nil" w:sz="0" w:space="0" w:color="auto"/>
              <w:end w:val="nil" w:sz="0" w:space="0" w:color="auto"/>
            </w:tcBorders>
            <w:tcMar>
              <w:top w:w="57" w:type="dxa"/>
              <w:start w:w="170" w:type="dxa"/>
              <w:bottom w:w="57" w:type="dxa"/>
              <w:end w:w="17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A9762F"/>
                <w:spacing w:val="12"/>
                <w:sz w:val="13"/>
              </w:rPr>
              <w:t>CLIENT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8"/>
              </w:rPr>
              <w:t>OPVN — Office des Produits Vivriers du Niger</w:t>
            </w:r>
          </w:p>
        </w:tc>
        <w:tc>
          <w:tcPr>
            <w:tcW w:type="dxa" w:w="4735"/>
            <w:tcBorders>
              <w:top w:val="nil" w:sz="0" w:space="0" w:color="auto"/>
              <w:start w:val="single" w:sz="18" w:space="0" w:color="E2DCD2"/>
              <w:bottom w:val="nil" w:sz="0" w:space="0" w:color="auto"/>
              <w:end w:val="nil" w:sz="0" w:space="0" w:color="auto"/>
            </w:tcBorders>
            <w:tcMar>
              <w:top w:w="57" w:type="dxa"/>
              <w:start w:w="170" w:type="dxa"/>
              <w:bottom w:w="57" w:type="dxa"/>
              <w:end w:w="17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A9762F"/>
                <w:spacing w:val="12"/>
                <w:sz w:val="13"/>
              </w:rPr>
              <w:t>OBJET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Confection de tenues avec logo OPVN</w:t>
            </w:r>
          </w:p>
        </w:tc>
      </w:tr>
    </w:tbl>
    <w:p>
      <w:pPr>
        <w:spacing w:before="0" w:after="280" w:line="240" w:lineRule="auto"/>
        <w:jc w:val="left"/>
      </w:pPr>
      <w:r>
        <w:rPr>
          <w:sz w:val="2"/>
        </w:rPr>
      </w:r>
    </w:p>
    <w:p>
      <w:pPr>
        <w:spacing w:before="0" w:after="60" w:line="240" w:lineRule="auto"/>
        <w:jc w:val="left"/>
      </w:pPr>
      <w:r>
        <w:rPr>
          <w:rFonts w:ascii="Georgia" w:hAnsi="Georgia" w:cs="Georgia"/>
          <w:b/>
          <w:i w:val="0"/>
          <w:caps w:val="0"/>
          <w:color w:val="23272B"/>
          <w:sz w:val="21"/>
        </w:rPr>
        <w:t>Détail de la prestation</w:t>
      </w:r>
    </w:p>
    <w:tbl>
      <w:tblPr>
        <w:tblW w:type="dxa" w:w="9866"/>
        <w:tblLayout w:type="fixed"/>
        <w:tblLook w:firstColumn="1" w:firstRow="1" w:lastColumn="0" w:lastRow="0" w:noHBand="0" w:noVBand="1" w:val="04A0"/>
      </w:tblPr>
      <w:tblGrid>
        <w:gridCol w:w="567"/>
        <w:gridCol w:w="5330"/>
        <w:gridCol w:w="794"/>
        <w:gridCol w:w="1361"/>
        <w:gridCol w:w="1814"/>
      </w:tblGrid>
      <w:tr>
        <w:tc>
          <w:tcPr>
            <w:tcW w:type="dxa" w:w="567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23272B"/>
            <w:tcMar>
              <w:top w:w="113" w:type="dxa"/>
              <w:start w:w="125" w:type="dxa"/>
              <w:bottom w:w="113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pacing w:val="10"/>
                <w:sz w:val="14"/>
              </w:rPr>
              <w:t>N°</w:t>
            </w:r>
          </w:p>
        </w:tc>
        <w:tc>
          <w:tcPr>
            <w:tcW w:type="dxa" w:w="5329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23272B"/>
            <w:tcMar>
              <w:top w:w="113" w:type="dxa"/>
              <w:start w:w="125" w:type="dxa"/>
              <w:bottom w:w="113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pacing w:val="10"/>
                <w:sz w:val="14"/>
              </w:rPr>
              <w:t>DÉSIGNATION</w:t>
            </w:r>
          </w:p>
        </w:tc>
        <w:tc>
          <w:tcPr>
            <w:tcW w:type="dxa" w:w="794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23272B"/>
            <w:tcMar>
              <w:top w:w="113" w:type="dxa"/>
              <w:start w:w="125" w:type="dxa"/>
              <w:bottom w:w="113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pacing w:val="10"/>
                <w:sz w:val="14"/>
              </w:rPr>
              <w:t>QTÉ</w:t>
            </w:r>
          </w:p>
        </w:tc>
        <w:tc>
          <w:tcPr>
            <w:tcW w:type="dxa" w:w="1361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23272B"/>
            <w:tcMar>
              <w:top w:w="113" w:type="dxa"/>
              <w:start w:w="125" w:type="dxa"/>
              <w:bottom w:w="113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pacing w:val="10"/>
                <w:sz w:val="14"/>
              </w:rPr>
              <w:t>PRIX UNIT.</w:t>
            </w:r>
          </w:p>
        </w:tc>
        <w:tc>
          <w:tcPr>
            <w:tcW w:type="dxa" w:w="1814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23272B"/>
            <w:tcMar>
              <w:top w:w="113" w:type="dxa"/>
              <w:start w:w="125" w:type="dxa"/>
              <w:bottom w:w="113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pacing w:val="10"/>
                <w:sz w:val="14"/>
              </w:rPr>
              <w:t>MONTANT</w:t>
            </w:r>
          </w:p>
        </w:tc>
      </w:tr>
      <w:tr>
        <w:tc>
          <w:tcPr>
            <w:tcW w:type="dxa" w:w="567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01</w:t>
            </w:r>
          </w:p>
        </w:tc>
        <w:tc>
          <w:tcPr>
            <w:tcW w:type="dxa" w:w="5329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8"/>
              </w:rPr>
              <w:t>Ensemble T-shirt + Pantalon + Casquette avec logo OPVN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77706A"/>
                <w:sz w:val="15"/>
              </w:rPr>
              <w:t>Planton : vert + noir + casquette noire  •  Manœuvre : vert + noir + casquette noire  •  Chauffeur : orange + noir + casquette noire  •  Gardiens : bleu marine + noir</w:t>
            </w:r>
          </w:p>
        </w:tc>
        <w:tc>
          <w:tcPr>
            <w:tcW w:type="dxa" w:w="794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200</w:t>
            </w:r>
          </w:p>
        </w:tc>
        <w:tc>
          <w:tcPr>
            <w:tcW w:type="dxa" w:w="1361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32 000</w:t>
            </w:r>
          </w:p>
        </w:tc>
        <w:tc>
          <w:tcPr>
            <w:tcW w:type="dxa" w:w="1814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8"/>
              </w:rPr>
              <w:t>6 400 000</w:t>
            </w:r>
          </w:p>
        </w:tc>
      </w:tr>
      <w:tr>
        <w:tc>
          <w:tcPr>
            <w:tcW w:type="dxa" w:w="567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DFBF7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02</w:t>
            </w:r>
          </w:p>
        </w:tc>
        <w:tc>
          <w:tcPr>
            <w:tcW w:type="dxa" w:w="5329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DFBF7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8"/>
              </w:rPr>
              <w:t>Contre-veste marron avec logo OPVN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77706A"/>
                <w:sz w:val="15"/>
              </w:rPr>
              <w:t>Planton (2ème complet) + Gardiens (2ème complet)</w:t>
            </w:r>
          </w:p>
        </w:tc>
        <w:tc>
          <w:tcPr>
            <w:tcW w:type="dxa" w:w="794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DFBF7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108</w:t>
            </w:r>
          </w:p>
        </w:tc>
        <w:tc>
          <w:tcPr>
            <w:tcW w:type="dxa" w:w="1361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DFBF7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38 500</w:t>
            </w:r>
          </w:p>
        </w:tc>
        <w:tc>
          <w:tcPr>
            <w:tcW w:type="dxa" w:w="1814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DFBF7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8"/>
              </w:rPr>
              <w:t>4 158 000</w:t>
            </w:r>
          </w:p>
        </w:tc>
      </w:tr>
      <w:tr>
        <w:tc>
          <w:tcPr>
            <w:tcW w:type="dxa" w:w="567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03</w:t>
            </w:r>
          </w:p>
        </w:tc>
        <w:tc>
          <w:tcPr>
            <w:tcW w:type="dxa" w:w="5329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8"/>
              </w:rPr>
              <w:t>Bleu de travail mécanicien avec logo OPVN (les deux complets bleus)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77706A"/>
                <w:sz w:val="15"/>
              </w:rPr>
              <w:t>Manœuvre + Mécaniciens</w:t>
            </w:r>
          </w:p>
        </w:tc>
        <w:tc>
          <w:tcPr>
            <w:tcW w:type="dxa" w:w="794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24</w:t>
            </w:r>
          </w:p>
        </w:tc>
        <w:tc>
          <w:tcPr>
            <w:tcW w:type="dxa" w:w="1361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24 500</w:t>
            </w:r>
          </w:p>
        </w:tc>
        <w:tc>
          <w:tcPr>
            <w:tcW w:type="dxa" w:w="1814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FFFFF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8"/>
              </w:rPr>
              <w:t>588 000</w:t>
            </w:r>
          </w:p>
        </w:tc>
      </w:tr>
      <w:tr>
        <w:tc>
          <w:tcPr>
            <w:tcW w:type="dxa" w:w="567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DFBF7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04</w:t>
            </w:r>
          </w:p>
        </w:tc>
        <w:tc>
          <w:tcPr>
            <w:tcW w:type="dxa" w:w="5329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DFBF7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8"/>
              </w:rPr>
              <w:t>Jalabia kaki / Ensemble à poches avec logo OPVN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77706A"/>
                <w:sz w:val="15"/>
              </w:rPr>
              <w:t>Chauffeurs (jalabia kaki) + Chauffeurs et Graisseurs</w:t>
            </w:r>
          </w:p>
        </w:tc>
        <w:tc>
          <w:tcPr>
            <w:tcW w:type="dxa" w:w="794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DFBF7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80</w:t>
            </w:r>
          </w:p>
        </w:tc>
        <w:tc>
          <w:tcPr>
            <w:tcW w:type="dxa" w:w="1361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DFBF7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31 300</w:t>
            </w:r>
          </w:p>
        </w:tc>
        <w:tc>
          <w:tcPr>
            <w:tcW w:type="dxa" w:w="1814"/>
            <w:tcBorders>
              <w:top w:val="nil" w:sz="0" w:space="0" w:color="auto"/>
              <w:start w:val="nil" w:sz="0" w:space="0" w:color="auto"/>
              <w:bottom w:val="single" w:sz="4" w:space="0" w:color="E2DCD2"/>
              <w:end w:val="nil" w:sz="0" w:space="0" w:color="auto"/>
            </w:tcBorders>
            <w:shd w:val="clear" w:color="auto" w:fill="FDFBF7"/>
            <w:tcMar>
              <w:top w:w="125" w:type="dxa"/>
              <w:start w:w="125" w:type="dxa"/>
              <w:bottom w:w="125" w:type="dxa"/>
              <w:end w:w="125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8"/>
              </w:rPr>
              <w:t>2 504 000</w:t>
            </w:r>
          </w:p>
        </w:tc>
      </w:tr>
      <w:tr>
        <w:tc>
          <w:tcPr>
            <w:tcW w:type="dxa" w:w="567"/>
            <w:tcBorders>
              <w:top w:val="single" w:sz="12" w:space="0" w:color="23272B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FAF6EF"/>
            <w:tcMar>
              <w:top w:w="147" w:type="dxa"/>
              <w:start w:w="125" w:type="dxa"/>
              <w:bottom w:w="147" w:type="dxa"/>
              <w:end w:w="125" w:type="dxa"/>
            </w:tcMar>
            <w:vAlign w:val="center"/>
          </w:tcPr>
          <w:p/>
        </w:tc>
        <w:tc>
          <w:tcPr>
            <w:tcW w:type="dxa" w:w="5329"/>
            <w:tcBorders>
              <w:top w:val="single" w:sz="12" w:space="0" w:color="23272B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FAF6EF"/>
            <w:tcMar>
              <w:top w:w="147" w:type="dxa"/>
              <w:start w:w="125" w:type="dxa"/>
              <w:bottom w:w="147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8"/>
              </w:rPr>
              <w:t>Total des articles</w:t>
            </w:r>
          </w:p>
        </w:tc>
        <w:tc>
          <w:tcPr>
            <w:tcW w:type="dxa" w:w="794"/>
            <w:tcBorders>
              <w:top w:val="single" w:sz="12" w:space="0" w:color="23272B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FAF6EF"/>
            <w:tcMar>
              <w:top w:w="147" w:type="dxa"/>
              <w:start w:w="125" w:type="dxa"/>
              <w:bottom w:w="147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8"/>
              </w:rPr>
              <w:t>412</w:t>
            </w:r>
          </w:p>
        </w:tc>
        <w:tc>
          <w:tcPr>
            <w:tcW w:type="dxa" w:w="1361"/>
            <w:tcBorders>
              <w:top w:val="single" w:sz="12" w:space="0" w:color="23272B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FAF6EF"/>
            <w:tcMar>
              <w:top w:w="147" w:type="dxa"/>
              <w:start w:w="125" w:type="dxa"/>
              <w:bottom w:w="147" w:type="dxa"/>
              <w:end w:w="125" w:type="dxa"/>
            </w:tcMar>
            <w:vAlign w:val="center"/>
          </w:tcPr>
          <w:p/>
        </w:tc>
        <w:tc>
          <w:tcPr>
            <w:tcW w:type="dxa" w:w="1814"/>
            <w:tcBorders>
              <w:top w:val="single" w:sz="12" w:space="0" w:color="23272B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FAF6EF"/>
            <w:tcMar>
              <w:top w:w="147" w:type="dxa"/>
              <w:start w:w="125" w:type="dxa"/>
              <w:bottom w:w="147" w:type="dxa"/>
              <w:end w:w="12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i w:val="0"/>
                <w:caps w:val="0"/>
                <w:color w:val="23272B"/>
                <w:sz w:val="18"/>
              </w:rPr>
              <w:t>13 650 000</w:t>
            </w:r>
          </w:p>
        </w:tc>
      </w:tr>
    </w:tbl>
    <w:p>
      <w:pPr>
        <w:spacing w:before="0" w:after="240" w:line="240" w:lineRule="auto"/>
        <w:jc w:val="left"/>
      </w:pPr>
      <w:r>
        <w:rPr>
          <w:sz w:val="2"/>
        </w:rPr>
      </w:r>
    </w:p>
    <w:tbl>
      <w:tblPr>
        <w:tblW w:type="dxa" w:w="9866"/>
        <w:tblLayout w:type="fixed"/>
        <w:tblLook w:firstColumn="1" w:firstRow="1" w:lastColumn="0" w:lastRow="0" w:noHBand="0" w:noVBand="1" w:val="04A0"/>
      </w:tblPr>
      <w:tblGrid>
        <w:gridCol w:w="5722"/>
        <w:gridCol w:w="4144"/>
      </w:tblGrid>
      <w:tr>
        <w:tc>
          <w:tcPr>
            <w:tcW w:type="dxa" w:w="5721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shd w:val="clear" w:color="auto" w:fill="23272B"/>
            <w:tcMar>
              <w:top w:w="227" w:type="dxa"/>
              <w:start w:w="284" w:type="dxa"/>
              <w:bottom w:w="227" w:type="dxa"/>
              <w:end w:w="284" w:type="dxa"/>
            </w:tcMar>
            <w:vAlign w:val="center"/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C9C2BA"/>
                <w:spacing w:val="14"/>
                <w:sz w:val="13"/>
              </w:rPr>
              <w:t>NET À PAYER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z w:val="38"/>
              </w:rPr>
              <w:t>13 650 000 FCFA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C9C2BA"/>
                <w:sz w:val="15"/>
              </w:rPr>
              <w:t>Treize millions six cent cinquante mille francs CFA</w:t>
            </w:r>
          </w:p>
        </w:tc>
        <w:tc>
          <w:tcPr>
            <w:tcW w:type="dxa" w:w="4143"/>
            <w:tcBorders>
              <w:top w:val="nil" w:sz="0" w:space="0" w:color="auto"/>
              <w:start w:val="single" w:sz="4" w:space="0" w:color="C9C2BA"/>
              <w:bottom w:val="nil" w:sz="0" w:space="0" w:color="auto"/>
              <w:end w:val="nil" w:sz="0" w:space="0" w:color="auto"/>
            </w:tcBorders>
            <w:shd w:val="clear" w:color="auto" w:fill="23272B"/>
            <w:tcMar>
              <w:top w:w="227" w:type="dxa"/>
              <w:start w:w="284" w:type="dxa"/>
              <w:bottom w:w="227" w:type="dxa"/>
              <w:end w:w="284" w:type="dxa"/>
            </w:tcMar>
            <w:vAlign w:val="center"/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z w:val="15"/>
              </w:rPr>
              <w:t>TVA</w:t>
            </w:r>
            <w:r>
              <w:rPr>
                <w:rFonts w:ascii="Calibri" w:hAnsi="Calibri" w:cs="Calibri"/>
                <w:b w:val="0"/>
                <w:i w:val="0"/>
                <w:caps w:val="0"/>
                <w:color w:val="C9C2BA"/>
                <w:sz w:val="15"/>
              </w:rPr>
              <w:t xml:space="preserve"> — —</w:t>
            </w:r>
          </w:p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z w:val="15"/>
              </w:rPr>
              <w:t>Paiement</w:t>
            </w:r>
            <w:r>
              <w:rPr>
                <w:rFonts w:ascii="Calibri" w:hAnsi="Calibri" w:cs="Calibri"/>
                <w:b w:val="0"/>
                <w:i w:val="0"/>
                <w:caps w:val="0"/>
                <w:color w:val="C9C2BA"/>
                <w:sz w:val="15"/>
              </w:rPr>
              <w:t xml:space="preserve"> — Espèces / virement / chèque</w:t>
            </w:r>
          </w:p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FFFFFF"/>
                <w:sz w:val="15"/>
              </w:rPr>
              <w:t>Délai de confection</w:t>
            </w:r>
            <w:r>
              <w:rPr>
                <w:rFonts w:ascii="Calibri" w:hAnsi="Calibri" w:cs="Calibri"/>
                <w:b w:val="0"/>
                <w:i w:val="0"/>
                <w:caps w:val="0"/>
                <w:color w:val="C9C2BA"/>
                <w:sz w:val="15"/>
              </w:rPr>
              <w:t xml:space="preserve"> — À convenir</w:t>
            </w:r>
          </w:p>
        </w:tc>
      </w:tr>
    </w:tbl>
    <w:p>
      <w:pPr>
        <w:spacing w:before="0" w:after="200" w:line="240" w:lineRule="auto"/>
        <w:jc w:val="left"/>
      </w:pPr>
      <w:r>
        <w:rPr>
          <w:sz w:val="2"/>
        </w:rPr>
      </w:r>
    </w:p>
    <w:tbl>
      <w:tblPr>
        <w:tblW w:type="dxa" w:w="9866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nil" w:sz="0" w:space="0" w:color="auto"/>
              <w:start w:val="single" w:sz="18" w:space="0" w:color="A9762F"/>
              <w:bottom w:val="nil" w:sz="0" w:space="0" w:color="auto"/>
              <w:end w:val="nil" w:sz="0" w:space="0" w:color="auto"/>
            </w:tcBorders>
            <w:shd w:val="clear" w:color="auto" w:fill="FAF6EF"/>
            <w:tcMar>
              <w:top w:w="147" w:type="dxa"/>
              <w:start w:w="204" w:type="dxa"/>
              <w:bottom w:w="147" w:type="dxa"/>
              <w:end w:w="204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A9762F"/>
                <w:spacing w:val="12"/>
                <w:sz w:val="13"/>
              </w:rPr>
              <w:t>NOTE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Plantons, manœuvres, chauffeurs, gardiens, mécaniciens et graisseurs — tous les articles brodés avec le logo OPVN.</w:t>
            </w:r>
          </w:p>
        </w:tc>
      </w:tr>
    </w:tbl>
    <w:p>
      <w:pPr>
        <w:spacing w:before="0" w:after="160" w:line="240" w:lineRule="auto"/>
        <w:jc w:val="left"/>
      </w:pPr>
      <w:r>
        <w:rPr>
          <w:sz w:val="2"/>
        </w:rPr>
      </w:r>
    </w:p>
    <w:tbl>
      <w:tblPr>
        <w:tblW w:type="dxa" w:w="9866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794" w:hRule="atLeast"/>
        </w:trPr>
        <w:tc>
          <w:tcPr>
            <w:tcW w:type="dxa" w:w="4932"/>
            <w:tcBorders>
              <w:top w:val="nil" w:sz="0" w:space="0" w:color="auto"/>
              <w:start w:val="nil" w:sz="0" w:space="0" w:color="auto"/>
              <w:bottom w:val="single" w:sz="6" w:space="0" w:color="77706A"/>
              <w:end w:val="nil" w:sz="0" w:space="0" w:color="auto"/>
            </w:tcBorders>
            <w:tcMar>
              <w:top w:w="57" w:type="dxa"/>
              <w:start w:w="0" w:type="dxa"/>
              <w:bottom w:w="57" w:type="dxa"/>
              <w:end w:w="284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4932"/>
            <w:tcBorders>
              <w:top w:val="nil" w:sz="0" w:space="0" w:color="auto"/>
              <w:start w:val="nil" w:sz="0" w:space="0" w:color="auto"/>
              <w:bottom w:val="single" w:sz="6" w:space="0" w:color="77706A"/>
              <w:end w:val="nil" w:sz="0" w:space="0" w:color="auto"/>
            </w:tcBorders>
            <w:tcMar>
              <w:top w:w="57" w:type="dxa"/>
              <w:start w:w="284" w:type="dxa"/>
              <w:bottom w:w="57" w:type="dxa"/>
              <w:end w:w="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932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tcMar>
              <w:top w:w="91" w:type="dxa"/>
              <w:start w:w="0" w:type="dxa"/>
              <w:bottom w:w="57" w:type="dxa"/>
              <w:end w:w="284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77706A"/>
                <w:spacing w:val="12"/>
                <w:sz w:val="13"/>
              </w:rPr>
              <w:t>LE FOURNISSEUR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E.I. Boubacar Adamou Moustapha</w:t>
            </w:r>
          </w:p>
        </w:tc>
        <w:tc>
          <w:tcPr>
            <w:tcW w:type="dxa" w:w="4932"/>
            <w:tcBorders>
              <w:top w:val="nil" w:sz="0" w:space="0" w:color="auto"/>
              <w:start w:val="nil" w:sz="0" w:space="0" w:color="auto"/>
              <w:bottom w:val="nil" w:sz="0" w:space="0" w:color="auto"/>
              <w:end w:val="nil" w:sz="0" w:space="0" w:color="auto"/>
            </w:tcBorders>
            <w:tcMar>
              <w:top w:w="91" w:type="dxa"/>
              <w:start w:w="284" w:type="dxa"/>
              <w:bottom w:w="57" w:type="dxa"/>
              <w:end w:w="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cs="Calibri"/>
                <w:b/>
                <w:i w:val="0"/>
                <w:caps w:val="0"/>
                <w:color w:val="77706A"/>
                <w:spacing w:val="12"/>
                <w:sz w:val="13"/>
              </w:rPr>
              <w:t>LE CLIENT (OPVN)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 w:val="0"/>
                <w:i w:val="0"/>
                <w:caps w:val="0"/>
                <w:color w:val="23272B"/>
                <w:sz w:val="18"/>
              </w:rPr>
              <w:t>Lu et approuvé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94" w:right="1020" w:bottom="907" w:left="102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E2DCD2"/>
      </w:pBdr>
      <w:tabs>
        <w:tab w:val="right" w:pos="9866"/>
      </w:tabs>
      <w:spacing w:before="0" w:after="0" w:line="240" w:lineRule="auto"/>
      <w:jc w:val="left"/>
    </w:pPr>
    <w:r>
      <w:rPr>
        <w:rFonts w:ascii="Calibri" w:hAnsi="Calibri" w:cs="Calibri"/>
        <w:b w:val="0"/>
        <w:i w:val="0"/>
        <w:caps w:val="0"/>
        <w:color w:val="77706A"/>
        <w:sz w:val="14"/>
      </w:rPr>
      <w:t>E.I. Boubacar Adamou Moustapha  ·  NIF 78708/P — Centre des Impôts Tourakou</w:t>
    </w:r>
    <w:r>
      <w:rPr>
        <w:rFonts w:ascii="Calibri" w:hAnsi="Calibri" w:cs="Calibri"/>
        <w:b w:val="0"/>
        <w:i w:val="0"/>
        <w:caps w:val="0"/>
        <w:color w:val="000000"/>
        <w:sz w:val="14"/>
      </w:rPr>
      <w:tab/>
    </w:r>
    <w:r>
      <w:rPr>
        <w:rFonts w:ascii="Calibri" w:hAnsi="Calibri" w:cs="Calibri"/>
        <w:b w:val="0"/>
        <w:i w:val="0"/>
        <w:caps w:val="0"/>
        <w:color w:val="77706A"/>
        <w:sz w:val="14"/>
      </w:rPr>
      <w:t>PF-2026-0915-007  ·  13 650 000 FCFA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Facture proforma PF-2026-0915-007 — OPVN</dc:title>
  <dc:subject>Confection de tenues avec logo OPVN</dc:subject>
  <dc:creator>E.I. Boubacar Adamou Moustapha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