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spacing w:before="0" w:after="0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20000" cy="6897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niger-certif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689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4"/>
          </w:tcPr>
          <w:p>
            <w:pPr>
              <w:spacing w:before="0" w:after="40"/>
            </w:pPr>
            <w:r/>
            <w:r>
              <w:rPr>
                <w:rFonts w:ascii="Calibri" w:hAnsi="Calibri"/>
                <w:b/>
                <w:i w:val="0"/>
                <w:color w:val="FF7900"/>
                <w:sz w:val="24"/>
              </w:rPr>
              <w:t>NIGER</w:t>
            </w:r>
            <w:r>
              <w:rPr>
                <w:rFonts w:ascii="Calibri" w:hAnsi="Calibri"/>
                <w:b/>
                <w:i w:val="0"/>
                <w:color w:val="0055D2"/>
                <w:sz w:val="24"/>
              </w:rPr>
              <w:t xml:space="preserve"> CERTIFY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0224B"/>
                <w:sz w:val="20"/>
              </w:rPr>
              <w:t>Niger, Niamey SONUCI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0224B"/>
                <w:sz w:val="20"/>
              </w:rPr>
              <w:t>Tel: 94107074</w:t>
            </w:r>
          </w:p>
        </w:tc>
        <w:tc>
          <w:tcPr>
            <w:tcW w:type="dxa" w:w="3364"/>
          </w:tcPr>
          <w:p>
            <w:r/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Date: 25/08/2026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Proforma: 00006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Client: ANPER NIGER</w:t>
            </w:r>
          </w:p>
        </w:tc>
      </w:tr>
    </w:tbl>
    <w:p>
      <w:pPr>
        <w:spacing w:before="240" w:after="40"/>
        <w:jc w:val="center"/>
      </w:pPr>
      <w:r>
        <w:rPr>
          <w:rFonts w:ascii="Calibri" w:hAnsi="Calibri"/>
          <w:b/>
          <w:i w:val="0"/>
          <w:color w:val="E36C09"/>
          <w:sz w:val="36"/>
        </w:rPr>
        <w:t>Proposition de formation — Community Manager</w:t>
      </w:r>
    </w:p>
    <w:p>
      <w:pPr>
        <w:spacing w:before="0" w:after="200"/>
        <w:jc w:val="center"/>
      </w:pPr>
      <w:r>
        <w:rPr>
          <w:rFonts w:ascii="Calibri" w:hAnsi="Calibri"/>
          <w:b/>
          <w:i w:val="0"/>
          <w:color w:val="00224B"/>
          <w:sz w:val="22"/>
        </w:rPr>
        <w:t>1 participant · Présentiel · Lomé · Hébergement inclus · 15–26/09/2026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Profil: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Community Manager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Effectif: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 personne</w:t>
            </w:r>
          </w:p>
        </w:tc>
      </w:tr>
      <w:tr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Durée: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 semaines / 70 h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Lieu: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Lomé, Togo</w:t>
            </w:r>
          </w:p>
        </w:tc>
      </w:tr>
      <w:tr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Début: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15/09/2026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Fin prévue: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26/09/2026</w:t>
            </w:r>
          </w:p>
        </w:tc>
      </w:tr>
      <w:tr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Hébergement: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Inclus — 14 nuits + petit-déj.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00224B"/>
                <w:sz w:val="20"/>
              </w:rPr>
              <w:t>Langue:</w:t>
            </w:r>
          </w:p>
        </w:tc>
        <w:tc>
          <w:tcPr>
            <w:tcW w:type="dxa" w:w="252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Français</w:t>
            </w:r>
          </w:p>
        </w:tc>
      </w:tr>
    </w:tbl>
    <w:p>
      <w:pPr>
        <w:spacing w:before="16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000000" w:space="0"/>
          <w:left w:val="single" w:sz="8" w:color="000000" w:space="0"/>
          <w:bottom w:val="single" w:sz="8" w:color="000000" w:space="0"/>
          <w:right w:val="single" w:sz="8" w:color="000000" w:space="0"/>
          <w:insideH w:val="single" w:sz="8" w:color="000000" w:space="0"/>
          <w:insideV w:val="single" w:sz="8" w:color="000000" w:space="0"/>
        </w:tblBorders>
      </w:tblPr>
      <w:tblGrid>
        <w:gridCol w:w="5046"/>
        <w:gridCol w:w="5046"/>
      </w:tblGrid>
      <w:tr>
        <w:tc>
          <w:tcPr>
            <w:tcW w:type="dxa" w:w="5046"/>
            <w:shd w:fill="E46C0A" w:val="clear"/>
          </w:tcPr>
          <w:p>
            <w:pPr>
              <w:spacing w:before="100" w:after="100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Prestations</w:t>
            </w:r>
          </w:p>
        </w:tc>
        <w:tc>
          <w:tcPr>
            <w:tcW w:type="dxa" w:w="5046"/>
            <w:shd w:fill="E46C0A" w:val="clear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Montant (FCFA)</w:t>
            </w:r>
          </w:p>
        </w:tc>
      </w:tr>
      <w:tr>
        <w:tc>
          <w:tcPr>
            <w:tcW w:type="dxa" w:w="5046"/>
          </w:tcPr>
          <w:p>
            <w:pPr>
              <w:spacing w:before="80" w:after="8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Formation Community Manager — 10 jours / 70 h (stratégie, contenus, community care, reporting, crise)</w:t>
            </w:r>
          </w:p>
        </w:tc>
        <w:tc>
          <w:tcPr>
            <w:tcW w:type="dxa" w:w="5046"/>
          </w:tcPr>
          <w:p>
            <w:pPr>
              <w:spacing w:before="80" w:after="8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950 000</w:t>
            </w:r>
          </w:p>
        </w:tc>
      </w:tr>
      <w:tr>
        <w:tc>
          <w:tcPr>
            <w:tcW w:type="dxa" w:w="5046"/>
          </w:tcPr>
          <w:p>
            <w:pPr>
              <w:spacing w:before="80" w:after="8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Supports pédagogiques, ateliers pratiques &amp; attestation de formation</w:t>
            </w:r>
          </w:p>
        </w:tc>
        <w:tc>
          <w:tcPr>
            <w:tcW w:type="dxa" w:w="5046"/>
          </w:tcPr>
          <w:p>
            <w:pPr>
              <w:spacing w:before="80" w:after="8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100 000</w:t>
            </w:r>
          </w:p>
        </w:tc>
      </w:tr>
      <w:tr>
        <w:tc>
          <w:tcPr>
            <w:tcW w:type="dxa" w:w="5046"/>
          </w:tcPr>
          <w:p>
            <w:pPr>
              <w:spacing w:before="80" w:after="8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Hébergement 14 nuits à Lomé (hôtel affaires, petit-déjeuner inclus)</w:t>
            </w:r>
          </w:p>
        </w:tc>
        <w:tc>
          <w:tcPr>
            <w:tcW w:type="dxa" w:w="5046"/>
          </w:tcPr>
          <w:p>
            <w:pPr>
              <w:spacing w:before="80" w:after="8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700 000</w:t>
            </w:r>
          </w:p>
        </w:tc>
      </w:tr>
      <w:tr>
        <w:tc>
          <w:tcPr>
            <w:tcW w:type="dxa" w:w="5046"/>
          </w:tcPr>
          <w:p>
            <w:pPr>
              <w:spacing w:before="80" w:after="8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Coordination pédagogique, logistique locale &amp; suivi post-formation (30 jours)</w:t>
            </w:r>
          </w:p>
        </w:tc>
        <w:tc>
          <w:tcPr>
            <w:tcW w:type="dxa" w:w="5046"/>
          </w:tcPr>
          <w:p>
            <w:pPr>
              <w:spacing w:before="80" w:after="8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100 000</w:t>
            </w:r>
          </w:p>
        </w:tc>
      </w:tr>
      <w:tr>
        <w:tc>
          <w:tcPr>
            <w:tcW w:type="dxa" w:w="5046"/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TOTAL TTC</w:t>
            </w:r>
          </w:p>
        </w:tc>
        <w:tc>
          <w:tcPr>
            <w:tcW w:type="dxa" w:w="5046"/>
          </w:tcPr>
          <w:p>
            <w:pPr>
              <w:spacing w:before="80" w:after="80"/>
              <w:jc w:val="righ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1 850 000</w:t>
            </w:r>
          </w:p>
        </w:tc>
      </w:tr>
    </w:tbl>
    <w:p>
      <w:pPr>
        <w:spacing w:before="16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i w:val="0"/>
                <w:sz w:val="22"/>
              </w:rPr>
              <w:t>Montant HT</w:t>
            </w:r>
          </w:p>
        </w:tc>
        <w:tc>
          <w:tcPr>
            <w:tcW w:type="dxa" w:w="5046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1 850 000</w:t>
            </w:r>
          </w:p>
        </w:tc>
      </w:tr>
      <w:tr>
        <w:tc>
          <w:tcPr>
            <w:tcW w:type="dxa" w:w="504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i w:val="0"/>
                <w:sz w:val="22"/>
              </w:rPr>
              <w:t>ISB (2%)</w:t>
            </w:r>
          </w:p>
        </w:tc>
        <w:tc>
          <w:tcPr>
            <w:tcW w:type="dxa" w:w="5046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37 000</w:t>
            </w:r>
          </w:p>
        </w:tc>
      </w:tr>
      <w:tr>
        <w:tc>
          <w:tcPr>
            <w:tcW w:type="dxa" w:w="504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i w:val="0"/>
                <w:sz w:val="22"/>
              </w:rPr>
              <w:t>Net à payer TTC :</w:t>
            </w:r>
          </w:p>
        </w:tc>
        <w:tc>
          <w:tcPr>
            <w:tcW w:type="dxa" w:w="5046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i w:val="0"/>
                <w:sz w:val="22"/>
              </w:rPr>
              <w:t>1 850 000</w:t>
            </w:r>
          </w:p>
        </w:tc>
      </w:tr>
    </w:tbl>
    <w:p>
      <w:pPr>
        <w:spacing w:before="200" w:after="80"/>
      </w:pPr>
      <w:r>
        <w:rPr>
          <w:rFonts w:ascii="Calibri" w:hAnsi="Calibri"/>
          <w:b w:val="0"/>
          <w:i w:val="0"/>
          <w:sz w:val="20"/>
        </w:rPr>
        <w:t>Programme : S1 fondations &amp; production de contenus ; S1 diffusion multi-plateformes ; S2 animation, crise, KPIs ; S2 mise en situation ANPER (plan 30/60/90 + restitution).</w:t>
      </w:r>
    </w:p>
    <w:p>
      <w:pPr>
        <w:spacing w:before="120" w:after="120"/>
      </w:pPr>
      <w:r>
        <w:rPr>
          <w:rFonts w:ascii="Calibri" w:hAnsi="Calibri"/>
          <w:b w:val="0"/>
          <w:i w:val="0"/>
          <w:color w:val="555555"/>
          <w:sz w:val="18"/>
        </w:rPr>
        <w:t>Hypothèses : billets d’avion A/R non inclus ; déjeuners/dîners non inclus ; présentiel Lomé ; 1 participant ; offre valable 30 jours.</w:t>
      </w:r>
    </w:p>
    <w:p>
      <w:pPr>
        <w:spacing w:before="160" w:after="120"/>
      </w:pPr>
      <w:r>
        <w:rPr>
          <w:rFonts w:ascii="Arial" w:hAnsi="Arial"/>
          <w:b w:val="0"/>
          <w:i w:val="0"/>
          <w:sz w:val="20"/>
        </w:rPr>
        <w:t>Arrêtée à la somme de un million huit cent cinquante mille (1 850 000) francs CFA TTC, ISB (2%) inclus et prélevé à la source.</w:t>
      </w:r>
    </w:p>
    <w:p>
      <w:pPr>
        <w:spacing w:before="120" w:after="80"/>
      </w:pPr>
      <w:r>
        <w:rPr>
          <w:rFonts w:ascii="Calibri" w:hAnsi="Calibri"/>
          <w:b/>
          <w:i w:val="0"/>
          <w:sz w:val="28"/>
        </w:rPr>
        <w:t>Compte: SONIBANK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Code banque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Code guichet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N° Compte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Clé RIB</w:t>
            </w:r>
          </w:p>
        </w:tc>
      </w:tr>
      <w:tr>
        <w:tc>
          <w:tcPr>
            <w:tcW w:type="dxa" w:w="2523"/>
          </w:tcPr>
          <w:p>
            <w:pPr>
              <w:spacing w:before="40" w:after="12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NE064</w:t>
            </w:r>
          </w:p>
        </w:tc>
        <w:tc>
          <w:tcPr>
            <w:tcW w:type="dxa" w:w="2523"/>
          </w:tcPr>
          <w:p>
            <w:pPr>
              <w:spacing w:before="40" w:after="12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01001</w:t>
            </w:r>
          </w:p>
        </w:tc>
        <w:tc>
          <w:tcPr>
            <w:tcW w:type="dxa" w:w="2523"/>
          </w:tcPr>
          <w:p>
            <w:pPr>
              <w:spacing w:before="40" w:after="12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25112911331</w:t>
            </w:r>
          </w:p>
        </w:tc>
        <w:tc>
          <w:tcPr>
            <w:tcW w:type="dxa" w:w="2523"/>
          </w:tcPr>
          <w:p>
            <w:pPr>
              <w:spacing w:before="40" w:after="12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2"/>
              </w:rPr>
              <w:t>35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/>
        </w:tc>
        <w:tc>
          <w:tcPr>
            <w:tcW w:type="dxa" w:w="5046"/>
          </w:tcPr>
          <w:p>
            <w:pPr>
              <w:spacing w:before="160" w:after="0"/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80000" cy="112969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chet-niger-certif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129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648000" cy="86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d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6" w:h="16838"/>
      <w:pgMar w:top="680" w:right="907" w:bottom="124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