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64"/>
        <w:gridCol w:w="3364"/>
        <w:gridCol w:w="3364"/>
      </w:tblGrid>
      <w:tr>
        <w:tc>
          <w:tcPr>
            <w:tcW w:type="dxa" w:w="1361"/>
          </w:tcPr>
          <w:p>
            <w:pPr>
              <w:spacing w:before="0"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56000" cy="724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iger-certif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24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i w:val="0"/>
                <w:color w:val="FF7900"/>
                <w:sz w:val="24"/>
              </w:rPr>
              <w:t>NIGER</w:t>
            </w:r>
            <w:r>
              <w:rPr>
                <w:rFonts w:ascii="Calibri" w:hAnsi="Calibri"/>
                <w:b/>
                <w:i w:val="0"/>
                <w:color w:val="0055D2"/>
                <w:sz w:val="24"/>
              </w:rPr>
              <w:t xml:space="preserve"> CERTIFY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224B"/>
                <w:sz w:val="22"/>
              </w:rPr>
              <w:t>Niger, Niamey SONUCI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00224B"/>
                <w:sz w:val="22"/>
              </w:rPr>
              <w:t>Tel: 94107074</w:t>
            </w:r>
          </w:p>
        </w:tc>
        <w:tc>
          <w:tcPr>
            <w:tcW w:type="dxa" w:w="4082"/>
          </w:tcPr>
          <w:p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41"/>
              <w:gridCol w:w="2041"/>
            </w:tblGrid>
            <w:tr>
              <w:tc>
                <w:tcPr>
                  <w:tcW w:type="dxa" w:w="1417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0224B"/>
                      <w:sz w:val="22"/>
                    </w:rPr>
                    <w:t>Date:</w:t>
                  </w:r>
                </w:p>
              </w:tc>
              <w:tc>
                <w:tcPr>
                  <w:tcW w:type="dxa" w:w="2551"/>
                  <w:tcBorders>
                    <w:top w:val="single" w:sz="8" w:color="00224B" w:space="0"/>
                    <w:left w:val="single" w:sz="8" w:color="00224B" w:space="0"/>
                    <w:bottom w:val="single" w:sz="8" w:color="00224B" w:space="0"/>
                    <w:right w:val="single" w:sz="8" w:color="00224B" w:space="0"/>
                  </w:tcBorders>
                  <w:vAlign w:val="center"/>
                </w:tcPr>
                <w:p>
                  <w:pPr>
                    <w:spacing w:before="20" w:after="20"/>
                  </w:pPr>
                  <w:r/>
                  <w:r>
                    <w:rPr>
                      <w:rFonts w:ascii="Calibri" w:hAnsi="Calibri"/>
                      <w:b w:val="0"/>
                      <w:i w:val="0"/>
                      <w:color w:val="000000"/>
                      <w:sz w:val="20"/>
                    </w:rPr>
                    <w:t>31/07/2026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0224B"/>
                      <w:sz w:val="22"/>
                    </w:rPr>
                    <w:t>Téléphone</w:t>
                  </w:r>
                </w:p>
              </w:tc>
              <w:tc>
                <w:tcPr>
                  <w:tcW w:type="dxa" w:w="2551"/>
                  <w:tcBorders>
                    <w:top w:val="single" w:sz="8" w:color="00224B" w:space="0"/>
                    <w:left w:val="single" w:sz="8" w:color="00224B" w:space="0"/>
                    <w:bottom w:val="single" w:sz="8" w:color="00224B" w:space="0"/>
                    <w:right w:val="single" w:sz="8" w:color="00224B" w:space="0"/>
                  </w:tcBorders>
                  <w:vAlign w:val="center"/>
                </w:tcPr>
                <w:p>
                  <w:pPr>
                    <w:spacing w:before="20" w:after="20"/>
                  </w:pPr>
                  <w:r/>
                  <w:r>
                    <w:rPr>
                      <w:rFonts w:ascii="Calibri" w:hAnsi="Calibri"/>
                      <w:b w:val="0"/>
                      <w:i w:val="0"/>
                      <w:color w:val="000000"/>
                      <w:sz w:val="20"/>
                    </w:rPr>
                    <w:t>95 88 43 19</w:t>
                  </w:r>
                </w:p>
              </w:tc>
            </w:tr>
            <w:tr>
              <w:tc>
                <w:tcPr>
                  <w:tcW w:type="dxa" w:w="1417"/>
                </w:tcPr>
                <w:p>
                  <w:pPr>
                    <w:spacing w:before="60" w:after="60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0224B"/>
                      <w:sz w:val="22"/>
                    </w:rPr>
                    <w:t>Email:</w:t>
                  </w:r>
                </w:p>
              </w:tc>
              <w:tc>
                <w:tcPr>
                  <w:tcW w:type="dxa" w:w="2551"/>
                  <w:tcBorders>
                    <w:top w:val="single" w:sz="8" w:color="00224B" w:space="0"/>
                    <w:left w:val="single" w:sz="8" w:color="00224B" w:space="0"/>
                    <w:bottom w:val="single" w:sz="8" w:color="00224B" w:space="0"/>
                    <w:right w:val="single" w:sz="8" w:color="00224B" w:space="0"/>
                  </w:tcBorders>
                  <w:vAlign w:val="center"/>
                </w:tcPr>
                <w:p>
                  <w:pPr>
                    <w:spacing w:before="20" w:after="20"/>
                  </w:pPr>
                  <w:r/>
                  <w:r>
                    <w:rPr>
                      <w:rFonts w:ascii="Calibri" w:hAnsi="Calibri"/>
                      <w:b w:val="0"/>
                      <w:i w:val="0"/>
                      <w:color w:val="000000"/>
                      <w:sz w:val="20"/>
                    </w:rPr>
                    <w:t>mlhumanitaire@gmail.com</w:t>
                  </w:r>
                </w:p>
              </w:tc>
            </w:tr>
          </w:tbl>
          <w:p/>
        </w:tc>
      </w:tr>
    </w:tbl>
    <w:p>
      <w:pPr>
        <w:spacing w:before="16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1417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i w:val="0"/>
                <w:color w:val="00224B"/>
                <w:sz w:val="22"/>
              </w:rPr>
              <w:t>Proforma:</w:t>
            </w:r>
          </w:p>
        </w:tc>
        <w:tc>
          <w:tcPr>
            <w:tcW w:type="dxa" w:w="2381"/>
            <w:tcBorders>
              <w:top w:val="single" w:sz="8" w:color="00224B" w:space="0"/>
              <w:left w:val="single" w:sz="8" w:color="00224B" w:space="0"/>
              <w:bottom w:val="single" w:sz="8" w:color="00224B" w:space="0"/>
              <w:right w:val="single" w:sz="8" w:color="00224B" w:space="0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00005</w:t>
            </w:r>
          </w:p>
        </w:tc>
      </w:tr>
      <w:tr>
        <w:tc>
          <w:tcPr>
            <w:tcW w:type="dxa" w:w="1417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i w:val="0"/>
                <w:color w:val="00224B"/>
                <w:sz w:val="22"/>
              </w:rPr>
              <w:t>Client:</w:t>
            </w:r>
          </w:p>
        </w:tc>
        <w:tc>
          <w:tcPr>
            <w:tcW w:type="dxa" w:w="2381"/>
            <w:tcBorders>
              <w:top w:val="single" w:sz="8" w:color="00224B" w:space="0"/>
              <w:left w:val="single" w:sz="8" w:color="00224B" w:space="0"/>
              <w:bottom w:val="single" w:sz="8" w:color="00224B" w:space="0"/>
              <w:right w:val="single" w:sz="8" w:color="00224B" w:space="0"/>
            </w:tcBorders>
            <w:vAlign w:val="cente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ML CONSULTING</w:t>
            </w:r>
          </w:p>
        </w:tc>
      </w:tr>
    </w:tbl>
    <w:p>
      <w:pPr>
        <w:spacing w:before="280" w:after="40"/>
        <w:jc w:val="center"/>
      </w:pPr>
      <w:r>
        <w:rPr>
          <w:rFonts w:ascii="Calibri" w:hAnsi="Calibri"/>
          <w:b/>
          <w:i w:val="0"/>
          <w:color w:val="E36C09"/>
          <w:sz w:val="44"/>
        </w:rPr>
        <w:t>Création du site internet de ML CONSULTING</w:t>
      </w:r>
    </w:p>
    <w:p>
      <w:pPr>
        <w:spacing w:before="0" w:after="240"/>
        <w:jc w:val="center"/>
      </w:pPr>
      <w:r>
        <w:rPr>
          <w:rFonts w:ascii="Calibri" w:hAnsi="Calibri"/>
          <w:b/>
          <w:i w:val="0"/>
          <w:color w:val="E36C09"/>
          <w:sz w:val="26"/>
        </w:rPr>
        <w:t>(Django — modèle type Bioforce.org)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 w:space="0"/>
          <w:left w:val="single" w:sz="8" w:color="000000" w:space="0"/>
          <w:bottom w:val="single" w:sz="8" w:color="000000" w:space="0"/>
          <w:right w:val="single" w:sz="8" w:color="000000" w:space="0"/>
          <w:insideH w:val="single" w:sz="8" w:color="000000" w:space="0"/>
          <w:insideV w:val="single" w:sz="8" w:color="000000" w:space="0"/>
        </w:tblBorders>
      </w:tblPr>
      <w:tblGrid>
        <w:gridCol w:w="5046"/>
        <w:gridCol w:w="5046"/>
      </w:tblGrid>
      <w:tr>
        <w:tc>
          <w:tcPr>
            <w:tcW w:type="dxa" w:w="7257"/>
            <w:shd w:fill="E46C0A" w:val="clear"/>
          </w:tcPr>
          <w:p>
            <w:pPr>
              <w:spacing w:before="120" w:after="12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Prestations</w:t>
            </w:r>
          </w:p>
        </w:tc>
        <w:tc>
          <w:tcPr>
            <w:tcW w:type="dxa" w:w="2835"/>
            <w:shd w:fill="E46C0A" w:val="clear"/>
          </w:tcPr>
          <w:p>
            <w:pPr>
              <w:spacing w:before="120" w:after="1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Montant (FCFA)</w:t>
            </w:r>
          </w:p>
        </w:tc>
      </w:tr>
      <w:tr>
        <w:tc>
          <w:tcPr>
            <w:tcW w:type="dxa" w:w="7257"/>
          </w:tcPr>
          <w:p>
            <w:pPr>
              <w:spacing w:before="100" w:after="10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Conception &amp; réalisation application web Django type Bioforce (design + développement + optimisation)</w:t>
            </w:r>
          </w:p>
        </w:tc>
        <w:tc>
          <w:tcPr>
            <w:tcW w:type="dxa" w:w="2835"/>
          </w:tcPr>
          <w:p>
            <w:pPr>
              <w:spacing w:before="100" w:after="10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1 100 000</w:t>
            </w:r>
          </w:p>
        </w:tc>
      </w:tr>
      <w:tr>
        <w:tc>
          <w:tcPr>
            <w:tcW w:type="dxa" w:w="7257"/>
          </w:tcPr>
          <w:p>
            <w:pPr>
              <w:spacing w:before="100" w:after="10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Modules métier Django (catalogue filtrable, actualités, pré-inscriptions, back-office)</w:t>
            </w:r>
          </w:p>
        </w:tc>
        <w:tc>
          <w:tcPr>
            <w:tcW w:type="dxa" w:w="2835"/>
          </w:tcPr>
          <w:p>
            <w:pPr>
              <w:spacing w:before="100" w:after="10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350 000</w:t>
            </w:r>
          </w:p>
        </w:tc>
      </w:tr>
      <w:tr>
        <w:tc>
          <w:tcPr>
            <w:tcW w:type="dxa" w:w="7257"/>
          </w:tcPr>
          <w:p>
            <w:pPr>
              <w:spacing w:before="100" w:after="10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Création et configuration des e-mails professionnels</w:t>
            </w:r>
          </w:p>
        </w:tc>
        <w:tc>
          <w:tcPr>
            <w:tcW w:type="dxa" w:w="2835"/>
          </w:tcPr>
          <w:p>
            <w:pPr>
              <w:spacing w:before="100" w:after="10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50 000</w:t>
            </w:r>
          </w:p>
        </w:tc>
      </w:tr>
      <w:tr>
        <w:tc>
          <w:tcPr>
            <w:tcW w:type="dxa" w:w="7257"/>
          </w:tcPr>
          <w:p>
            <w:pPr>
              <w:spacing w:before="100" w:after="10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Hébergement et accompagnement deux ans (VPS, sécurité, mises à jour, support)</w:t>
            </w:r>
          </w:p>
        </w:tc>
        <w:tc>
          <w:tcPr>
            <w:tcW w:type="dxa" w:w="2835"/>
          </w:tcPr>
          <w:p>
            <w:pPr>
              <w:spacing w:before="100" w:after="100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500 000</w:t>
            </w:r>
          </w:p>
        </w:tc>
      </w:tr>
      <w:tr>
        <w:tc>
          <w:tcPr>
            <w:tcW w:type="dxa" w:w="7257"/>
          </w:tcPr>
          <w:p>
            <w:pPr>
              <w:spacing w:before="100" w:after="100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TOTAL TTC</w:t>
            </w:r>
          </w:p>
        </w:tc>
        <w:tc>
          <w:tcPr>
            <w:tcW w:type="dxa" w:w="2835"/>
          </w:tcPr>
          <w:p>
            <w:pPr>
              <w:spacing w:before="100" w:after="100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2 000 000</w:t>
            </w:r>
          </w:p>
        </w:tc>
      </w:tr>
    </w:tbl>
    <w:p>
      <w:pPr>
        <w:spacing w:before="200"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 w:space="0"/>
          <w:left w:val="single" w:sz="6" w:color="000000" w:space="0"/>
          <w:bottom w:val="single" w:sz="6" w:color="000000" w:space="0"/>
          <w:right w:val="single" w:sz="6" w:color="000000" w:space="0"/>
          <w:insideH w:val="single" w:sz="6" w:color="000000" w:space="0"/>
          <w:insideV w:val="single" w:sz="6" w:color="000000" w:space="0"/>
        </w:tblBorders>
      </w:tblPr>
      <w:tblGrid>
        <w:gridCol w:w="5046"/>
        <w:gridCol w:w="5046"/>
      </w:tblGrid>
      <w:tr>
        <w:tc>
          <w:tcPr>
            <w:tcW w:type="dxa" w:w="2551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Montant HT</w:t>
            </w:r>
          </w:p>
        </w:tc>
        <w:tc>
          <w:tcPr>
            <w:tcW w:type="dxa" w:w="4819"/>
          </w:tcPr>
          <w:p>
            <w:pPr>
              <w:spacing w:before="80" w:after="8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 xml:space="preserve">          2 000 000</w:t>
            </w:r>
          </w:p>
        </w:tc>
      </w:tr>
      <w:tr>
        <w:tc>
          <w:tcPr>
            <w:tcW w:type="dxa" w:w="2551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ISB (2%)</w:t>
            </w:r>
          </w:p>
        </w:tc>
        <w:tc>
          <w:tcPr>
            <w:tcW w:type="dxa" w:w="4819"/>
          </w:tcPr>
          <w:p>
            <w:pPr>
              <w:spacing w:before="80" w:after="8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 xml:space="preserve">          40 000</w:t>
            </w:r>
          </w:p>
        </w:tc>
      </w:tr>
      <w:tr>
        <w:tc>
          <w:tcPr>
            <w:tcW w:type="dxa" w:w="2551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Net à payer TTC :</w:t>
            </w:r>
          </w:p>
        </w:tc>
        <w:tc>
          <w:tcPr>
            <w:tcW w:type="dxa" w:w="4819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 xml:space="preserve">          2 000 000</w:t>
            </w:r>
          </w:p>
        </w:tc>
      </w:tr>
    </w:tbl>
    <w:p>
      <w:pPr>
        <w:spacing w:before="240" w:after="120"/>
      </w:pPr>
      <w:r>
        <w:rPr>
          <w:rFonts w:ascii="Arial" w:hAnsi="Arial"/>
          <w:b w:val="0"/>
          <w:i w:val="0"/>
          <w:color w:val="000000"/>
          <w:sz w:val="20"/>
        </w:rPr>
        <w:t>Arrêtée la présente facture proforma à la somme de deux millions (2 000 000) francs CFA TTC, ce prix inclut l’ISB (2%) qui sera prélevé à la source.</w:t>
      </w:r>
    </w:p>
    <w:p>
      <w:pPr>
        <w:spacing w:before="0" w:after="200"/>
      </w:pPr>
      <w:r>
        <w:rPr>
          <w:rFonts w:ascii="Arial" w:hAnsi="Arial"/>
          <w:b/>
          <w:i w:val="0"/>
          <w:color w:val="000000"/>
          <w:sz w:val="20"/>
        </w:rPr>
        <w:t>Dont hébergement et accompagnement deux ans : 500 000 FCFA TTC.</w:t>
      </w:r>
    </w:p>
    <w:p>
      <w:pPr>
        <w:spacing w:before="80" w:after="160"/>
      </w:pPr>
      <w:r>
        <w:rPr>
          <w:rFonts w:ascii="Calibri" w:hAnsi="Calibri"/>
          <w:b/>
          <w:i w:val="0"/>
          <w:color w:val="000000"/>
          <w:sz w:val="32"/>
        </w:rPr>
        <w:t>Compte: SONIBANK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Code banque</w:t>
            </w:r>
          </w:p>
        </w:tc>
        <w:tc>
          <w:tcPr>
            <w:tcW w:type="dxa" w:w="2523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Code guichet</w:t>
            </w:r>
          </w:p>
        </w:tc>
        <w:tc>
          <w:tcPr>
            <w:tcW w:type="dxa" w:w="2523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N° Compte</w:t>
            </w:r>
          </w:p>
        </w:tc>
        <w:tc>
          <w:tcPr>
            <w:tcW w:type="dxa" w:w="2523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Clé RIB</w:t>
            </w:r>
          </w:p>
        </w:tc>
      </w:tr>
      <w:tr>
        <w:tc>
          <w:tcPr>
            <w:tcW w:type="dxa" w:w="2523"/>
          </w:tcPr>
          <w:p>
            <w:pPr>
              <w:spacing w:before="80" w:after="16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NE064</w:t>
            </w:r>
          </w:p>
        </w:tc>
        <w:tc>
          <w:tcPr>
            <w:tcW w:type="dxa" w:w="2523"/>
          </w:tcPr>
          <w:p>
            <w:pPr>
              <w:spacing w:before="80" w:after="16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01001</w:t>
            </w:r>
          </w:p>
        </w:tc>
        <w:tc>
          <w:tcPr>
            <w:tcW w:type="dxa" w:w="2523"/>
          </w:tcPr>
          <w:p>
            <w:pPr>
              <w:spacing w:before="80" w:after="16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25112911331</w:t>
            </w:r>
          </w:p>
        </w:tc>
        <w:tc>
          <w:tcPr>
            <w:tcW w:type="dxa" w:w="2523"/>
          </w:tcPr>
          <w:p>
            <w:pPr>
              <w:spacing w:before="80" w:after="16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6"/>
              </w:rPr>
              <w:t>35</w:t>
            </w:r>
          </w:p>
        </w:tc>
      </w:tr>
    </w:tbl>
    <w:p>
      <w:pPr>
        <w:spacing w:before="40" w:after="160"/>
      </w:pPr>
      <w:r>
        <w:rPr>
          <w:rFonts w:ascii="Arial" w:hAnsi="Arial"/>
          <w:b w:val="0"/>
          <w:i w:val="0"/>
          <w:color w:val="444444"/>
          <w:sz w:val="18"/>
        </w:rPr>
        <w:t>Document proforma — valable 30 jours · Réf. analyse : https://www.bioforce.org/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669"/>
          </w:tcPr>
          <w:p>
            <w:r/>
          </w:p>
        </w:tc>
        <w:tc>
          <w:tcPr>
            <w:tcW w:type="dxa" w:w="4252"/>
          </w:tcPr>
          <w:p>
            <w:pPr>
              <w:spacing w:before="0" w:after="0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52000" cy="12050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et-niger-certif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205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drawing>
                <wp:inline xmlns:a="http://schemas.openxmlformats.org/drawingml/2006/main" xmlns:pic="http://schemas.openxmlformats.org/drawingml/2006/picture">
                  <wp:extent cx="720000" cy="9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-d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footerReference w:type="default" r:id="rId12"/>
      <w:pgSz w:w="11906" w:h="16838"/>
      <w:pgMar w:top="680" w:right="907" w:bottom="1361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46"/>
      <w:gridCol w:w="5046"/>
    </w:tblGrid>
    <w:tr>
      <w:tc>
        <w:tcPr>
          <w:tcW w:type="dxa" w:w="3118"/>
          <w:shd w:fill="0055D2" w:val="clear"/>
        </w:tcPr>
        <w:p>
          <w:pPr>
            <w:spacing w:before="160" w:after="160"/>
          </w:pPr>
          <w:r/>
          <w:r>
            <w:rPr>
              <w:rFonts w:ascii="Arial" w:hAnsi="Arial"/>
              <w:b w:val="0"/>
              <w:i w:val="0"/>
              <w:color w:val="0055D2"/>
              <w:sz w:val="18"/>
            </w:rPr>
            <w:t xml:space="preserve"> </w:t>
          </w:r>
        </w:p>
      </w:tc>
      <w:tc>
        <w:tcPr>
          <w:tcW w:type="dxa" w:w="6973"/>
          <w:shd w:fill="FF7900" w:val="clear"/>
        </w:tcPr>
        <w:p>
          <w:pPr>
            <w:spacing w:before="160" w:after="160"/>
            <w:jc w:val="center"/>
          </w:pPr>
          <w:r/>
          <w:r>
            <w:rPr>
              <w:rFonts w:ascii="Arial" w:hAnsi="Arial"/>
              <w:b w:val="0"/>
              <w:i/>
              <w:color w:val="FFFFFF"/>
              <w:sz w:val="18"/>
            </w:rPr>
            <w:t>« Montant soumis à ISB au taux de 2% conformément à la réglementation fiscale en vigueur. »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