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before="0" w:after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20000" cy="6897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iger-certif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689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color w:val="FF7900"/>
                <w:sz w:val="24"/>
              </w:rPr>
              <w:t>NIGER</w:t>
            </w:r>
            <w:r>
              <w:rPr>
                <w:rFonts w:ascii="Calibri" w:hAnsi="Calibri"/>
                <w:b/>
                <w:color w:val="0055D2"/>
                <w:sz w:val="24"/>
              </w:rPr>
              <w:t xml:space="preserve"> CERTIFY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224B"/>
                <w:sz w:val="20"/>
              </w:rPr>
              <w:t>Niger, Niamey SONUCI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224B"/>
                <w:sz w:val="20"/>
              </w:rPr>
              <w:t>Tel: 94107074</w:t>
            </w:r>
          </w:p>
        </w:tc>
        <w:tc>
          <w:tcPr>
            <w:tcW w:type="dxa" w:w="3402"/>
          </w:tcPr>
          <w:p>
            <w:r/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00224B"/>
                <w:sz w:val="18"/>
              </w:rPr>
              <w:t>Date: 25/08/2026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00224B"/>
                <w:sz w:val="18"/>
              </w:rPr>
              <w:t>Téléphone: 20 35 01 73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00224B"/>
                <w:sz w:val="18"/>
              </w:rPr>
              <w:t>Email: info@anperniger.org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00224B"/>
          <w:sz w:val="22"/>
        </w:rPr>
        <w:t>Proforma: 00006    Client: ANPER NIGER</w:t>
      </w:r>
    </w:p>
    <w:p>
      <w:pPr>
        <w:spacing w:before="200" w:after="40"/>
        <w:jc w:val="center"/>
      </w:pPr>
      <w:r>
        <w:rPr>
          <w:rFonts w:ascii="Calibri" w:hAnsi="Calibri"/>
          <w:b/>
          <w:color w:val="E36C09"/>
          <w:sz w:val="32"/>
        </w:rPr>
        <w:t>Proposition de formation — Community Manager</w:t>
      </w:r>
    </w:p>
    <w:p>
      <w:pPr>
        <w:spacing w:before="0" w:after="200"/>
        <w:jc w:val="center"/>
      </w:pPr>
      <w:r>
        <w:rPr>
          <w:rFonts w:ascii="Calibri" w:hAnsi="Calibri"/>
          <w:b/>
          <w:color w:val="00224B"/>
          <w:sz w:val="20"/>
        </w:rPr>
        <w:t>1 participant · Mixte (présentiel Lomé + visio) · 15–26/09/2026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 w:space="0"/>
          <w:left w:val="single" w:sz="8" w:color="000000" w:space="0"/>
          <w:bottom w:val="single" w:sz="8" w:color="000000" w:space="0"/>
          <w:right w:val="single" w:sz="8" w:color="000000" w:space="0"/>
          <w:insideH w:val="single" w:sz="8" w:color="000000" w:space="0"/>
          <w:insideV w:val="single" w:sz="8" w:color="000000" w:space="0"/>
        </w:tblBorders>
      </w:tblPr>
      <w:tblGrid>
        <w:gridCol w:w="10206"/>
      </w:tblGrid>
      <w:tr>
        <w:tc>
          <w:tcPr>
            <w:tcW w:type="dxa" w:w="10206"/>
            <w:shd w:fill="E46C0A" w:val="clear"/>
          </w:tcPr>
          <w:p>
            <w:pPr>
              <w:spacing w:before="100" w:after="100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Périmètre de la formation (forfait)</w:t>
            </w:r>
          </w:p>
        </w:tc>
      </w:tr>
      <w:tr>
        <w:tc>
          <w:tcPr>
            <w:tcW w:type="dxa" w:w="1020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• Stratégie &amp; animation Community Management (réseaux sociaux, community care, crise, reporting)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• Maîtrise des outils d’intelligence artificielle appliqués au CM (idéation, rédaction assistée, optimisation, automatisation)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• Infographie &amp; création visuelle (Canva / outils graphiques, templates, identité visuelle)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• Gestion du contenu (calendrier éditorial, workflow, bibliothèque, planification &amp; publication)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• Supports pédagogiques, plateforme virtuelle, ateliers pratiques &amp; attestation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• Coordination pédagogique &amp; suivi post-formation (30 jours)</w:t>
            </w:r>
          </w:p>
        </w:tc>
      </w:tr>
    </w:tbl>
    <w:p>
      <w:pPr>
        <w:spacing w:before="20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6" w:color="00224B" w:space="0"/>
          <w:left w:val="single" w:sz="16" w:color="00224B" w:space="0"/>
          <w:bottom w:val="single" w:sz="16" w:color="00224B" w:space="0"/>
          <w:right w:val="single" w:sz="16" w:color="00224B" w:space="0"/>
          <w:insideH w:val="single" w:sz="16" w:color="00224B" w:space="0"/>
          <w:insideV w:val="single" w:sz="16" w:color="00224B" w:space="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160" w:after="160"/>
            </w:pPr>
            <w:r/>
            <w:r>
              <w:rPr>
                <w:rFonts w:ascii="Calibri" w:hAnsi="Calibri"/>
                <w:b/>
                <w:color w:val="00224B"/>
                <w:sz w:val="24"/>
              </w:rPr>
              <w:t>Montant forfaitaire TTC</w:t>
            </w:r>
          </w:p>
        </w:tc>
        <w:tc>
          <w:tcPr>
            <w:tcW w:type="dxa" w:w="5103"/>
          </w:tcPr>
          <w:p>
            <w:pPr>
              <w:spacing w:before="160" w:after="160"/>
              <w:jc w:val="right"/>
            </w:pPr>
            <w:r/>
            <w:r>
              <w:rPr>
                <w:rFonts w:ascii="Calibri" w:hAnsi="Calibri"/>
                <w:b/>
                <w:color w:val="E36C09"/>
                <w:sz w:val="32"/>
              </w:rPr>
              <w:t>3 500 000 FCFA</w:t>
            </w:r>
          </w:p>
        </w:tc>
      </w:tr>
    </w:tbl>
    <w:p>
      <w:pPr>
        <w:spacing w:before="200" w:after="80"/>
      </w:pPr>
      <w:r>
        <w:rPr>
          <w:rFonts w:ascii="Calibri" w:hAnsi="Calibri"/>
          <w:b w:val="0"/>
          <w:sz w:val="18"/>
        </w:rPr>
        <w:t>Programme mixte : S1 présentiel (fondations &amp; gestion de contenu) ; S1 mixte (production &amp; outils IA) ; S2 présentiel (infographie &amp; diffusion) ; S2 mixte (pilotage, KPIs, plan 30/60/90 ANPER).</w:t>
      </w:r>
    </w:p>
    <w:p>
      <w:pPr>
        <w:spacing w:before="80" w:after="120"/>
      </w:pPr>
      <w:r>
        <w:rPr>
          <w:rFonts w:ascii="Calibri" w:hAnsi="Calibri"/>
          <w:b w:val="0"/>
          <w:color w:val="555555"/>
          <w:sz w:val="16"/>
        </w:rPr>
        <w:t>Inclus : formation mixte, IA, infographie, gestion de contenu, supports, plateforme, attestation, suivi 30 j. Non inclus : hébergement, restauration, billets d’avion A/R. Offre valable 30 jours.</w:t>
      </w:r>
    </w:p>
    <w:p>
      <w:pPr>
        <w:spacing w:before="120" w:after="120"/>
      </w:pPr>
      <w:r>
        <w:rPr>
          <w:rFonts w:ascii="Arial" w:hAnsi="Arial"/>
          <w:b w:val="0"/>
          <w:sz w:val="20"/>
        </w:rPr>
        <w:t>Arrêtée à la somme forfaitaire de trois millions cinq cent mille (3 500 000) francs CFA TTC, ISB (2%) inclus et prélevé à la source.</w:t>
      </w:r>
    </w:p>
    <w:p>
      <w:pPr>
        <w:spacing w:before="80" w:after="60"/>
      </w:pPr>
      <w:r>
        <w:rPr>
          <w:rFonts w:ascii="Calibri" w:hAnsi="Calibri"/>
          <w:b/>
          <w:sz w:val="26"/>
        </w:rPr>
        <w:t>Compte: SONIBANK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Code banque</w:t>
            </w:r>
          </w:p>
        </w:tc>
        <w:tc>
          <w:tcPr>
            <w:tcW w:type="dxa" w:w="2551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Code guichet</w:t>
            </w:r>
          </w:p>
        </w:tc>
        <w:tc>
          <w:tcPr>
            <w:tcW w:type="dxa" w:w="2551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N° Compte</w:t>
            </w:r>
          </w:p>
        </w:tc>
        <w:tc>
          <w:tcPr>
            <w:tcW w:type="dxa" w:w="2551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Clé RIB</w:t>
            </w:r>
          </w:p>
        </w:tc>
      </w:tr>
      <w:tr>
        <w:tc>
          <w:tcPr>
            <w:tcW w:type="dxa" w:w="2551"/>
          </w:tcPr>
          <w:p>
            <w:pPr>
              <w:spacing w:before="40" w:after="8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NE064</w:t>
            </w:r>
          </w:p>
        </w:tc>
        <w:tc>
          <w:tcPr>
            <w:tcW w:type="dxa" w:w="2551"/>
          </w:tcPr>
          <w:p>
            <w:pPr>
              <w:spacing w:before="40" w:after="8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01001</w:t>
            </w:r>
          </w:p>
        </w:tc>
        <w:tc>
          <w:tcPr>
            <w:tcW w:type="dxa" w:w="2551"/>
          </w:tcPr>
          <w:p>
            <w:pPr>
              <w:spacing w:before="40" w:after="8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25112911331</w:t>
            </w:r>
          </w:p>
        </w:tc>
        <w:tc>
          <w:tcPr>
            <w:tcW w:type="dxa" w:w="2551"/>
          </w:tcPr>
          <w:p>
            <w:pPr>
              <w:spacing w:before="40" w:after="8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5103"/>
          </w:tcPr>
          <w:p/>
        </w:tc>
        <w:tc>
          <w:tcPr>
            <w:tcW w:type="dxa" w:w="5103"/>
          </w:tcPr>
          <w:p>
            <w:pPr>
              <w:spacing w:before="160" w:after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7999" cy="1054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het-niger-certif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54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612000" cy="81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-d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8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68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