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4"/>
        </w:rPr>
        <w:t>Protokoll Discovery Call</w:t>
      </w:r>
    </w:p>
    <w:p>
      <w:pPr>
        <w:spacing w:after="280"/>
      </w:pPr>
      <w:r>
        <w:rPr>
          <w:color w:val="7F7F7F"/>
          <w:sz w:val="22"/>
        </w:rPr>
        <w:t>Odoo für die biotec GmbH  ·  Verstehen, wo Sie stehen – und prüfen, ob und wie Odoo Sie weiterbringt.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Feld</w:t>
            </w:r>
          </w:p>
        </w:tc>
        <w:tc>
          <w:tcPr>
            <w:tcW w:type="dxa" w:w="7087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Eintrag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Datum / Uhrzeit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Dauer (geplant 45–60 Min.)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Ort / Tool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Teilnehmer biotec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Teilnehmer CertoClav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Michael Simon (Consultant &amp; SPOC)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Weitere Teilnehmer (Certania)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Protokoll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Michael Simon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  <w:t>Aufzeichnung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☐ ja   ☐ nein   (Einverständnis eingeholt: ☐ ja  ☐ nein)</w:t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ZUSAMMENFASSUNG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Kernaussagen des Gesprächs</w:t>
      </w:r>
    </w:p>
    <w:p>
      <w:pPr>
        <w:spacing w:after="40"/>
      </w:pPr>
      <w:r>
        <w:rPr>
          <w:i/>
          <w:color w:val="7F7F7F"/>
          <w:sz w:val="18"/>
        </w:rPr>
        <w:t>Drei bis fünf Sätze: Ausgangslage, wichtigste Erkenntnis, Einschätzung Machbarkeit.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AGENDA 01 – CA. 10 MIN.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1 · CertoClav &amp; unser Ansatz</w:t>
      </w:r>
    </w:p>
    <w:p>
      <w:pPr>
        <w:spacing w:after="40"/>
      </w:pPr>
      <w:r>
        <w:rPr>
          <w:i/>
          <w:color w:val="7F7F7F"/>
          <w:sz w:val="18"/>
        </w:rPr>
        <w:t>Vorgestellt: SPOC auf Beraterseite, Einrichtung + Datenimport durch CertoClav mit Claude, iterative Feedbackrunden, Train-the-Trainer.</w:t>
      </w:r>
    </w:p>
    <w:p>
      <w:pPr>
        <w:spacing w:before="160" w:after="0"/>
      </w:pPr>
      <w:r>
        <w:rPr>
          <w:b/>
        </w:rPr>
        <w:t>Reaktionen, Rückfragen, Bedenken zum Arbeitsmodell</w:t>
      </w:r>
      <w:r>
        <w:rPr>
          <w:i/>
          <w:color w:val="7F7F7F"/>
          <w:sz w:val="18"/>
        </w:rPr>
        <w:t xml:space="preserve">  (z. B. SPOC-Rolle, KI-Einsatz, Datenschutz, Verfügbarkeit)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„WAS WIR ÜBER BIOTEC WISSEN“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2 · Firmenprofil-Check</w:t>
      </w:r>
    </w:p>
    <w:p>
      <w:pPr>
        <w:spacing w:after="40"/>
      </w:pPr>
      <w:r>
        <w:rPr>
          <w:i/>
          <w:color w:val="7F7F7F"/>
          <w:sz w:val="18"/>
        </w:rPr>
        <w:t>Unsere Annahmen aus biotec-gmbh.com – Korrekturen und Ergänzungen festhalten.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Annahme</w:t>
            </w:r>
          </w:p>
        </w:tc>
        <w:tc>
          <w:tcPr>
            <w:tcW w:type="dxa" w:w="147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Bestätigt?</w:t>
            </w:r>
          </w:p>
        </w:tc>
        <w:tc>
          <w:tcPr>
            <w:tcW w:type="dxa" w:w="4762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Korrektur / Ergänzung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Bundesweites Hygieneinstitut, VDI-Schulungspartner (VDI 6022 / 2047)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Inspektionen vor Ort: RLT-Anlagen, Verdunstungskühlanlagen, Luftentkeimung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Beratung &amp; Gefährdungsbeurteilungen (Trinkwasser-, Krankenhaushygiene)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Bundesweite VDI-Schulungen, Termine online buchbar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Labor &amp; Forschung, Entwicklung neuer Analyseverfahren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Standort Gütersloh (Elbrachtsweg 76, 33332)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before="160" w:after="0"/>
      </w:pPr>
      <w:r>
        <w:rPr>
          <w:b/>
        </w:rPr>
        <w:t>Was haben wir übersehen? Was ist am wichtigsten – was läuft heute schon gut?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1/3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3 · Schmerzpunkte &amp; Ziele</w:t>
      </w:r>
    </w:p>
    <w:p>
      <w:pPr>
        <w:spacing w:before="160" w:after="0"/>
      </w:pPr>
      <w:r>
        <w:rPr>
          <w:b/>
        </w:rPr>
        <w:t>Warum sprechen wir gerade jetzt über ein ERP?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Was funktioniert heute nicht – oder nur mit viel Handarbeit?</w:t>
      </w:r>
      <w:r>
        <w:rPr>
          <w:i/>
          <w:color w:val="7F7F7F"/>
          <w:sz w:val="18"/>
        </w:rPr>
        <w:t xml:space="preserve">  (Doppelerfassung, Zettelwirtschaft, Excel-Inseln)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Wo geht im Alltag am meisten Zeit verloren?</w:t>
      </w:r>
      <w:r>
        <w:rPr>
          <w:i/>
          <w:color w:val="7F7F7F"/>
          <w:sz w:val="18"/>
        </w:rPr>
        <w:t xml:space="preserve">  (Einsatzplanung, Berichte, Rechnungsstellung, Kursorganisation)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Was ist der Auslöser, das jetzt anzugehen?</w:t>
      </w:r>
      <w:r>
        <w:rPr>
          <w:i/>
          <w:color w:val="7F7F7F"/>
          <w:sz w:val="18"/>
        </w:rPr>
        <w:t xml:space="preserve">  (Wachstum, Personalwechsel, Kundenanforderungen, Altsystem)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Woran würden Sie in 12 Monaten festmachen, dass sich das Projekt gelohnt hat?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Was soll auf keinen Fall schlechter werden als heute?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2/3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4 · Prozesse, Systeme &amp; Daten</w:t>
      </w:r>
    </w:p>
    <w:p>
      <w:pPr>
        <w:spacing w:after="40"/>
      </w:pPr>
      <w:r>
        <w:rPr>
          <w:i/>
          <w:color w:val="7F7F7F"/>
          <w:sz w:val="18"/>
        </w:rPr>
        <w:t>Basis für Scoping, Phasierung und den Claude-gestützten Datenimport.</w:t>
      </w:r>
    </w:p>
    <w:p>
      <w:pPr>
        <w:spacing w:before="160" w:after="0"/>
      </w:pPr>
      <w:r>
        <w:rPr>
          <w:b/>
        </w:rPr>
        <w:t>Welche Software ist heute im Einsatz – und wofür?</w:t>
      </w:r>
      <w:r>
        <w:rPr>
          <w:i/>
          <w:color w:val="7F7F7F"/>
          <w:sz w:val="18"/>
        </w:rPr>
        <w:t xml:space="preserve">  (Buchhaltung/DATEV, Planung, Labor, Kursbuchung, Office)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Wie läuft ein Auftrag heute durch – von der Anfrage bis zur Rechnung?</w:t>
      </w:r>
      <w:r>
        <w:rPr>
          <w:i/>
          <w:color w:val="7F7F7F"/>
          <w:sz w:val="18"/>
        </w:rPr>
        <w:t xml:space="preserve">  (Inspektion, Beratung, Schulung im Vergleich)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Welche Daten liegen vor – und in welcher Qualität?</w:t>
      </w:r>
      <w:r>
        <w:rPr>
          <w:i/>
          <w:color w:val="7F7F7F"/>
          <w:sz w:val="18"/>
        </w:rPr>
        <w:t xml:space="preserve">  (Kunden, Anlagen/Objekte, Prüfberichte, Vorlagen, Kurskatalog)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Wie arbeiten die Prüfer vor Ort?</w:t>
      </w:r>
      <w:r>
        <w:rPr>
          <w:i/>
          <w:color w:val="7F7F7F"/>
          <w:sz w:val="18"/>
        </w:rPr>
        <w:t xml:space="preserve">  (mobil/offline, Checklisten, Fotos, Unterschriften, Berichtserstellung)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Welche Systeme müssen bleiben und angebunden werden – was darf Odoo ersetzen?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r>
        <w:br w:type="page"/>
      </w: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„ODOO-APPS FÜR BIOTEC“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5 · App-Hypothese validieren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Odoo-App</w:t>
            </w:r>
          </w:p>
        </w:tc>
        <w:tc>
          <w:tcPr>
            <w:tcW w:type="dxa" w:w="30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Zweck (Hypothese)</w:t>
            </w:r>
          </w:p>
        </w:tc>
        <w:tc>
          <w:tcPr>
            <w:tcW w:type="dxa" w:w="1474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Relevant?</w:t>
            </w:r>
          </w:p>
        </w:tc>
        <w:tc>
          <w:tcPr>
            <w:tcW w:type="dxa" w:w="30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Anmerkung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CRM &amp; Verkauf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Anfragen, Angebote &amp; Aufträge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Rechnungsstellung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Rechnungen &amp; Zahlungen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Einkauf &amp; Lager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Labor- &amp; Prüfmaterial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Außendienst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Einsatzplanung &amp; Prüfberichte vor Ort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Projekte &amp; Zeiterfassung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Beratungsaufträge &amp; Gutachten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Veranstaltungen &amp; E-Learning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VDI-Schulungen inkl. Online-Buchung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Abonnements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Wiederkehrende Prüfintervalle &amp; Verträge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Qualität &amp; Dokumente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Proben, Berichte &amp; Nachweise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Buchhaltung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Finanzbuchhaltung, DATEV-Anbindung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Produktion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bewusst nicht eingeplant – klären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Website / E-Commerce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  <w:t>bewusst nicht eingeplant – klären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Weitere: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☐ ja ☐ nein ☐ offen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ERGÄNZUNG ZUM DECK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6 · Anforderungen Finance / Certania-Gruppe</w:t>
      </w:r>
    </w:p>
    <w:p>
      <w:pPr>
        <w:spacing w:after="40"/>
      </w:pPr>
      <w:r>
        <w:rPr>
          <w:i/>
          <w:color w:val="7F7F7F"/>
          <w:sz w:val="18"/>
        </w:rPr>
        <w:t>Aus dem Gruppen-Strang (Jeannette Bühler, Head of Group Accounting): vollintegriertes P2P/O2C und POC-/WIP-Bewertung. Klären, ob das zum Scope gehört.</w:t>
      </w:r>
    </w:p>
    <w:p>
      <w:pPr>
        <w:spacing w:before="160" w:after="0"/>
      </w:pPr>
      <w:r>
        <w:rPr>
          <w:b/>
        </w:rPr>
        <w:t>Gehören die Gruppenanforderungen (P2P/O2C, POC/WIP) zum biotec-Projekt – oder separat?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Welche Anforderungen bestehen an das Reporting Package der Gruppe?</w:t>
      </w:r>
      <w:r>
        <w:rPr>
          <w:i/>
          <w:color w:val="7F7F7F"/>
          <w:sz w:val="18"/>
        </w:rPr>
        <w:t xml:space="preserve">  (Inhalte, Frequenz, Empfänger, Format)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Laufen mehrjährige/mehrmonatige Projekte, die nach Fertigstellungsgrad bewertet werden?</w:t>
      </w:r>
      <w:r>
        <w:rPr>
          <w:i/>
          <w:color w:val="7F7F7F"/>
          <w:sz w:val="18"/>
        </w:rPr>
        <w:t xml:space="preserve">  (Festpreis, Meilensteinabrechnung, Fremdlabor)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Bilanzierung nach HGB, IFRS oder beidem? Wer ist Steuerberater / Wirtschaftsprüfer?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DISCOVERY 3/3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7 · Team, Zeitrahmen &amp; Budget</w:t>
      </w:r>
    </w:p>
    <w:p>
      <w:pPr>
        <w:spacing w:before="160" w:after="0"/>
      </w:pPr>
      <w:r>
        <w:rPr>
          <w:b/>
        </w:rPr>
        <w:t>Wer wäre Ihr Hauptansprechpartner für die Iterationen?</w:t>
      </w:r>
      <w:r>
        <w:rPr>
          <w:i/>
          <w:color w:val="7F7F7F"/>
          <w:sz w:val="18"/>
        </w:rPr>
        <w:t xml:space="preserve">  (stimmt Feedbackrunden ab, schult später intern)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Wie viel Zeit kann diese Person pro Woche realistisch einbringen?</w:t>
      </w:r>
      <w:r>
        <w:rPr>
          <w:i/>
          <w:color w:val="7F7F7F"/>
          <w:sz w:val="18"/>
        </w:rPr>
        <w:t xml:space="preserve">  (Richtwert: wenige Stunden für Demos &amp; Freigaben)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Wie viele Mitarbeiter würden mit Odoo arbeiten?</w:t>
      </w:r>
      <w:r>
        <w:rPr>
          <w:i/>
          <w:color w:val="7F7F7F"/>
          <w:sz w:val="18"/>
        </w:rPr>
        <w:t xml:space="preserve">  (Innendienst, Prüfer, Labor, Verwaltung)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Gibt es einen Wunschtermin für den Go-live – und was treibt ihn?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60" w:after="0"/>
      </w:pPr>
      <w:r>
        <w:rPr>
          <w:b/>
        </w:rPr>
        <w:t>In welchem Budgetrahmen bewegen wir uns – und wer entscheidet?</w:t>
      </w:r>
      <w:r>
        <w:rPr>
          <w:i/>
          <w:color w:val="7F7F7F"/>
          <w:sz w:val="18"/>
        </w:rPr>
        <w:t xml:space="preserve">  (Basis für Scoping &amp; Phasierung, keine Festlegung heute)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DECK-FOLIE „NÄCHSTE SCHRITTE“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8 · Nächste Schritte &amp; Aufgaben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Nr.</w:t>
            </w:r>
          </w:p>
        </w:tc>
        <w:tc>
          <w:tcPr>
            <w:tcW w:type="dxa" w:w="4535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Aufgabe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Wer</w:t>
            </w:r>
          </w:p>
        </w:tc>
        <w:tc>
          <w:tcPr>
            <w:tcW w:type="dxa" w:w="13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Termin</w:t>
            </w:r>
          </w:p>
        </w:tc>
        <w:tc>
          <w:tcPr>
            <w:tcW w:type="dxa" w:w="136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Zusammenfassung / Protokoll des Discovery Calls versenden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Beispielhafte Rohdaten &amp; Vorlagen teilen (keine Aufbereitung nötig)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biotec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Scoping &amp; Angebot: Phasierung, Aufwandsschätzung, Budgetbasis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CertoClav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  <w:t>Entscheidung &amp; Kick-Off: Hauptansprechpartner benennen, Termin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Gemeinsam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19"/>
              </w:rPr>
              <w:t>☐ offen</w:t>
            </w:r>
          </w:p>
        </w:tc>
      </w:tr>
    </w:tbl>
    <w:p>
      <w:pPr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9 · Offene Punkte &amp; Risiken</w:t>
      </w:r>
    </w:p>
    <w:p>
      <w:pPr>
        <w:spacing w:after="40"/>
      </w:pPr>
      <w:r>
        <w:rPr>
          <w:i/>
          <w:color w:val="7F7F7F"/>
          <w:sz w:val="18"/>
        </w:rPr>
        <w:t>Was im Termin nicht geklärt werden konnte – inkl. wer es klärt.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236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Offener Punkt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Klärt</w:t>
            </w:r>
          </w:p>
        </w:tc>
        <w:tc>
          <w:tcPr>
            <w:tcW w:type="dxa" w:w="1701"/>
            <w:shd w:val="clear" w:fill="1F4E7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Bis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before="280" w:after="0"/>
      </w:pPr>
      <w:r>
        <w:rPr>
          <w:rFonts w:ascii="Calibri" w:hAnsi="Calibri"/>
          <w:b/>
          <w:color w:val="7F7F7F"/>
          <w:sz w:val="15"/>
        </w:rPr>
        <w:t>NICHT TEIL DES KUNDENPROTOKOLLS</w:t>
      </w:r>
    </w:p>
    <w:p>
      <w:pPr>
        <w:spacing w:before="4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10 · Interne Notizen</w:t>
      </w:r>
    </w:p>
    <w:p>
      <w:pPr>
        <w:spacing w:after="40"/>
      </w:pPr>
      <w:r>
        <w:rPr>
          <w:i/>
          <w:color w:val="7F7F7F"/>
          <w:sz w:val="18"/>
        </w:rPr>
        <w:t>Einschätzung Machbarkeit, Aufwandstreiber, Stakeholder-Dynamik, Preisindikation. Vor dem Versand an den Kunden entfernen.</w:t>
      </w: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p>
      <w:pPr>
        <w:spacing w:before="120" w:after="120"/>
        <w:ind w:left="227"/>
        <w:pBdr>
          <w:bottom w:val="single" w:sz="6" w:space="2" w:color="BFBFBF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5"/>
      </w:rPr>
    </w:r>
    <w:r>
      <w:rPr>
        <w:color w:val="7F7F7F"/>
        <w:sz w:val="15"/>
      </w:rPr>
      <w:t xml:space="preserve">CertoClav Sterilizer GmbH  ·  Leonding, Österreich  ·  support@certoclav.com  ·  www.certoclav.com   ·   </w:t>
    </w:r>
    <w:r>
      <w:rPr>
        <w:color w:val="7F7F7F"/>
        <w:sz w:val="15"/>
      </w:rPr>
      <w:t xml:space="preserve">Seite </w:t>
    </w:r>
    <w:fldSimple w:instr="PAGE">
      <w:r>
        <w:t>1</w:t>
      </w:r>
    </w:fldSimple>
    <w:r>
      <w:rPr>
        <w:color w:val="7F7F7F"/>
        <w:sz w:val="15"/>
      </w:rPr>
      <w:t xml:space="preserve"> von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/>
    <w:r>
      <w:rPr>
        <w:b/>
        <w:color w:val="1F4E79"/>
        <w:sz w:val="16"/>
      </w:rPr>
      <w:t>CERTOCLAV CONSULTING</w:t>
    </w:r>
    <w:r>
      <w:rPr>
        <w:color w:val="7F7F7F"/>
        <w:sz w:val="16"/>
      </w:rPr>
      <w:tab/>
      <w:t>Protokoll Discovery Call  ·  Dok.-Nr. DISC-2026-001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