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Vertraulichkeitsvereinbarung</w:t>
      </w:r>
    </w:p>
    <w:p>
      <w:pPr>
        <w:spacing w:after="280"/>
      </w:pPr>
      <w:r>
        <w:rPr>
          <w:color w:val="7F7F7F"/>
          <w:sz w:val="22"/>
        </w:rPr>
        <w:t>Gegenseitige Vereinbarung über die Behandlung vertraulicher Informationen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82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  <w:t>(nachfolgend „biotec“)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307200 · info@biotec-gmbh.com</w:t>
              <w:br/>
              <w:t>vertreten durch: Dr. Andreas Bermpohl, Prokurist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  <w:t>(nachfolgend „CertoClav“)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– gemeinsam die „Parteien“, jeweils einzeln „Partei“ –</w:t>
      </w:r>
    </w:p>
    <w:p>
      <w:pPr>
        <w:spacing w:before="240" w:after="80"/>
      </w:pPr>
      <w:r>
        <w:rPr>
          <w:b/>
          <w:color w:val="1F4E79"/>
          <w:sz w:val="22"/>
        </w:rPr>
        <w:t>1. Zweck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Die Parteien prüfen und führen die Einführung des ERP-Systems Odoo bei biotec durch (der „Zweck“). Dazu ist der Austausch vertraulicher Informationen erforderlich.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>Vertrauliche Informationen dürfen ausschließlich für diesen Zweck verwendet werden.</w:t>
      </w:r>
    </w:p>
    <w:p>
      <w:pPr>
        <w:spacing w:before="240" w:after="80"/>
      </w:pPr>
      <w:r>
        <w:rPr>
          <w:b/>
          <w:color w:val="1F4E79"/>
          <w:sz w:val="22"/>
        </w:rPr>
        <w:t>2. Vertrauliche Informationen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Vertrauliche Informationen sind alle Informationen, die eine Partei („offenbarende Partei“) der anderen („empfangende Partei“) im Zusammenhang mit dem Zweck zugänglich macht – unabhängig von Form und Datenträger, mündlich, schriftlich, elektronisch oder durch Einsichtnahme.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Dazu gehören insbesondere, ohne darauf beschränkt zu sein: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Kunden-, Lieferanten- und Kontaktdaten sowie Anlagen- und Objektdaten,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Prüfberichte, Gutachten, Analyseergebnisse, Prüfpläne und Bewertungsschemata,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kaufmännische Daten: Preise, Kalkulationen, Umsätze, Konten, offene Posten,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Datenbanken, Datenbankschemata, Datenexporte und Quellcode einschließlich Dokumentation der von biotec eingesetzten Software,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Vorlagen, Layouts und Textbausteine der Dokumente von biotec,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Konzepte, Architekturen, Vorgehensmodelle, Aufwandsschätzungen und Kalkulationsgrundlagen von CertoClav,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Verträge, Vertragsentwürfe und Konditionen beider Parteien.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 w:val="0"/>
          <w:sz w:val="20"/>
        </w:rPr>
        <w:t>Eine Kennzeichnung als „vertraulich“ ist nicht erforderlich. Die Parteien behandeln die genannten Informationen auch ohne Kennzeichnung als vertraulich.</w:t>
      </w:r>
    </w:p>
    <w:p>
      <w:pPr>
        <w:spacing w:after="100"/>
        <w:ind w:left="624" w:hanging="624"/>
      </w:pPr>
      <w:r>
        <w:rPr>
          <w:b/>
          <w:sz w:val="20"/>
        </w:rPr>
        <w:t>2.4</w:t>
        <w:tab/>
      </w:r>
      <w:r>
        <w:rPr>
          <w:b w:val="0"/>
          <w:sz w:val="20"/>
        </w:rPr>
        <w:t>Die Parteien sind sich einig, dass die in dieser Vereinbarung getroffenen Maßnahmen angemessene Geheimhaltungsmaßnahmen im Sinne des Geschäftsgeheimnisgesetzes darstellen.</w:t>
      </w:r>
    </w:p>
    <w:p>
      <w:pPr>
        <w:spacing w:before="240" w:after="80"/>
      </w:pPr>
      <w:r>
        <w:rPr>
          <w:b/>
          <w:color w:val="1F4E79"/>
          <w:sz w:val="22"/>
        </w:rPr>
        <w:t>3. Ausnahmen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Nicht vertraulich sind Informationen, die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bei Erhalt bereits allgemein bekannt waren oder ohne Verletzung dieser Vereinbarung allgemein bekannt werden,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der empfangenden Partei vor der Offenbarung rechtmäßig und ohne Vertraulichkeitsbindung bekannt waren,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die empfangende Partei ohne Nutzung der vertraulichen Informationen selbst entwickelt hat,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von einem berechtigten Dritten ohne Vertraulichkeitsbindung überlassen wurden.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Besteht eine gesetzliche oder behördliche Pflicht zur Offenlegung, informiert die empfangende Partei die offenbarende Partei unverzüglich und beschränkt die Offenlegung auf das erforderliche Maß.</w:t>
      </w:r>
    </w:p>
    <w:p>
      <w:pPr>
        <w:spacing w:before="240" w:after="80"/>
      </w:pPr>
      <w:r>
        <w:rPr>
          <w:b/>
          <w:color w:val="1F4E79"/>
          <w:sz w:val="22"/>
        </w:rPr>
        <w:t>4. Pflichten der empfangenden Partei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>Die empfangende Partei bewahrt vertrauliche Informationen geheim, schützt sie mit der Sorgfalt, die sie eigenen vertraulichen Informationen entgegenbringt – mindestens jedoch mit verkehrsüblicher Sorgfalt – und gibt sie nicht an Dritte weiter.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>Zugang erhalten nur Personen, die die Informationen für den Zweck benötigen (Kenntnis-nur-wenn-nötig) und die zur Vertraulichkeit verpflichtet sind. Dies umfasst Mitarbeitende, Organe und Beauftragte.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Die Einbeziehung von Unterauftragnehmern ist zulässig, wenn diese schriftlich zu einer mindestens gleichwertigen Vertraulichkeit verpflichtet werden. Die empfangende Partei bleibt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b w:val="0"/>
          <w:sz w:val="20"/>
        </w:rPr>
        <w:t>Vertrauliche Informationen werden nicht länger und nicht weiter gespeichert als für den Zweck erforderlich. Die Speicherung erfolgt auf zugriffsbeschränkten Systemen.</w:t>
      </w:r>
    </w:p>
    <w:p>
      <w:pPr>
        <w:spacing w:after="100"/>
        <w:ind w:left="624" w:hanging="624"/>
      </w:pPr>
      <w:r>
        <w:rPr>
          <w:b/>
          <w:sz w:val="20"/>
        </w:rPr>
        <w:t>4.5</w:t>
        <w:tab/>
      </w:r>
      <w:r>
        <w:rPr>
          <w:b w:val="0"/>
          <w:sz w:val="20"/>
        </w:rPr>
        <w:t>Quellcode und Datenbankinhalte werden ausschließlich zur Analyse und zur Datenübernahme im Rahmen des Zwecks verwendet. Eine Nutzung für eigene Produkte oder für Dritte ist ausgeschlossen.</w:t>
      </w:r>
    </w:p>
    <w:p>
      <w:pPr>
        <w:spacing w:after="100"/>
        <w:ind w:left="624" w:hanging="624"/>
      </w:pPr>
      <w:r>
        <w:rPr>
          <w:b/>
          <w:sz w:val="20"/>
        </w:rPr>
        <w:t>4.6</w:t>
        <w:tab/>
      </w:r>
      <w:r>
        <w:rPr>
          <w:b w:val="0"/>
          <w:sz w:val="20"/>
        </w:rPr>
        <w:t xml:space="preserve">Diese Beschränkung gilt zeitlich unbegrenzt und </w:t>
      </w:r>
      <w:r>
        <w:rPr>
          <w:b/>
          <w:sz w:val="20"/>
        </w:rPr>
        <w:t>auch nach Beendigung dieser Vereinbarung sowie nach Ende der Zusammenarbeit</w:t>
      </w:r>
      <w:r>
        <w:rPr>
          <w:b w:val="0"/>
          <w:sz w:val="20"/>
        </w:rPr>
        <w:t>. Eine Nutzung, Weitergabe, Überlassung, Veröffentlichung oder sonstige Verwertung der Software von biotec – einschließlich Quellcode, Datenbankinhalten und davon abgeleiteter Bearbeitungen – gegenüber Dritten bleibt dauerhaft ausgeschlossen. Die Regelung besteht unabhängig von der Laufzeit nach Ziffer 8 fort.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5. Personenbezogene Daten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Soweit vertrauliche Informationen personenbezogene Daten enthalten, beschränken die Parteien deren Übermittlung auf das für den Zweck erforderliche Maß. biotec stellt Beispieldaten soweit möglich anonymisiert oder pseudonymisiert bereit.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Diese Vereinbarung ersetzt keinen Vertrag über die Auftragsverarbeitung. Sofern CertoClav personenbezogene Daten im Auftrag von biotec verarbeitet, schließen die Parteien zusätzlich eine Vereinbarung nach Art. 28 DSGVO.</w:t>
      </w:r>
    </w:p>
    <w:p>
      <w:pPr>
        <w:spacing w:before="240" w:after="80"/>
      </w:pPr>
      <w:r>
        <w:rPr>
          <w:b/>
          <w:color w:val="1F4E79"/>
          <w:sz w:val="22"/>
        </w:rPr>
        <w:t>6. Keine Rechteübertragung, keine Abschlusspflicht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Vertrauliche Informationen bleiben Eigentum der offenbarenden Partei. Diese Vereinbarung begründet keine Lizenz und keine sonstigen Rechte an gewerblichen Schutzrechten, Urheberrechten oder Know-how.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Aus dieser Vereinbarung ergibt sich keine Verpflichtung, einen weiteren Vertrag abzuschließen oder Informationen offenzulegen.</w:t>
      </w:r>
    </w:p>
    <w:p>
      <w:pPr>
        <w:spacing w:after="100"/>
        <w:ind w:left="624" w:hanging="624"/>
      </w:pPr>
      <w:r>
        <w:rPr>
          <w:b/>
          <w:sz w:val="20"/>
        </w:rPr>
        <w:t>6.3</w:t>
        <w:tab/>
      </w:r>
      <w:r>
        <w:rPr>
          <w:b w:val="0"/>
          <w:sz w:val="20"/>
        </w:rPr>
        <w:t>Die offenbarende Partei übernimmt keine Gewähr für Richtigkeit oder Vollständigkeit der offenbarten Informationen.</w:t>
      </w:r>
    </w:p>
    <w:p>
      <w:pPr>
        <w:spacing w:before="240" w:after="80"/>
      </w:pPr>
      <w:r>
        <w:rPr>
          <w:b/>
          <w:color w:val="1F4E79"/>
          <w:sz w:val="22"/>
        </w:rPr>
        <w:t>7. Rückgabe und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Auf Verlangen der offenbarenden Partei, spätestens nach Erledigung des Zwecks, gibt die empfangende Partei alle vertraulichen Informationen samt Kopien zurück oder löscht sie und bestätigt dies auf Wunsch schriftlich.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Ausgenommen sind Informationen, für die eine gesetzliche Aufbewahrungspflicht besteht, sowie Sicherungskopien aus automatisierten Backup-Verfahren. Für diese gilt die Vertraulichkeitspflicht fort.</w:t>
      </w:r>
    </w:p>
    <w:p>
      <w:pPr>
        <w:spacing w:after="100"/>
        <w:ind w:left="624" w:hanging="624"/>
      </w:pPr>
      <w:r>
        <w:rPr>
          <w:b/>
          <w:sz w:val="20"/>
        </w:rPr>
        <w:t>7.3</w:t>
        <w:tab/>
      </w:r>
      <w:r>
        <w:rPr>
          <w:b w:val="0"/>
          <w:sz w:val="20"/>
        </w:rPr>
        <w:t>Datenbanksicherungen und Quellcode werden nach Abschluss des Projekts gelöscht, sofern die Parteien nichts anderes vereinbaren.</w:t>
      </w:r>
    </w:p>
    <w:p>
      <w:pPr>
        <w:spacing w:before="240" w:after="80"/>
      </w:pPr>
      <w:r>
        <w:rPr>
          <w:b/>
          <w:color w:val="1F4E79"/>
          <w:sz w:val="22"/>
        </w:rPr>
        <w:t>8. Laufzeit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Diese Vereinbarung tritt mit Unterzeichnung durch beide Parteien in Kraft.</w:t>
      </w:r>
    </w:p>
    <w:p>
      <w:pPr>
        <w:spacing w:after="100"/>
        <w:ind w:left="624" w:hanging="624"/>
      </w:pPr>
      <w:r>
        <w:rPr>
          <w:b/>
          <w:sz w:val="20"/>
        </w:rPr>
        <w:t>8.2</w:t>
        <w:tab/>
      </w:r>
      <w:r>
        <w:rPr>
          <w:b w:val="0"/>
          <w:sz w:val="20"/>
        </w:rPr>
        <w:t>Die Vertraulichkeitspflichten gelten für 3 Jahre nach Beendigung der Zusammenarbeit fort. Für Informationen, die Geschäftsgeheimnisse darstellen, gelten sie unbefristet, solange die Voraussetzungen eines Geschäftsgeheimnisses vorliegen.</w:t>
      </w:r>
    </w:p>
    <w:p>
      <w:pPr>
        <w:spacing w:before="240" w:after="80"/>
      </w:pPr>
      <w:r>
        <w:rPr>
          <w:b/>
          <w:color w:val="1F4E79"/>
          <w:sz w:val="22"/>
        </w:rPr>
        <w:t>9. Schlussbestimmungen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Änderungen und Ergänzungen bedürfen der Schriftform. Das gilt auch für die Änderung dieser Klausel.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Sollte eine Bestimmung unwirksam sein, bleibt die Vereinbarung im Übrigen wirksam. Die Parteien ersetzen die unwirksame Bestimmung durch eine wirksame, die dem verfolgten Zweck am nächsten kommt.</w:t>
      </w:r>
    </w:p>
    <w:p>
      <w:pPr>
        <w:spacing w:after="100"/>
        <w:ind w:left="624" w:hanging="624"/>
      </w:pPr>
      <w:r>
        <w:rPr>
          <w:b/>
          <w:sz w:val="20"/>
        </w:rPr>
        <w:t>9.3</w:t>
        <w:tab/>
      </w:r>
      <w:r>
        <w:rPr>
          <w:b w:val="0"/>
          <w:sz w:val="20"/>
        </w:rPr>
        <w:t>Es gilt das Recht der Bundesrepublik Deutschland unter Ausschluss des UN-Kaufrechts. Ausschließlicher Gerichtsstand ist Gütersloh.</w:t>
      </w:r>
    </w:p>
    <w:p>
      <w:pPr>
        <w:spacing w:after="100"/>
        <w:ind w:left="624" w:hanging="624"/>
      </w:pPr>
      <w:r>
        <w:rPr>
          <w:b/>
          <w:sz w:val="20"/>
        </w:rPr>
        <w:t>9.4</w:t>
        <w:tab/>
      </w:r>
      <w:r>
        <w:rPr>
          <w:b w:val="0"/>
          <w:sz w:val="20"/>
        </w:rPr>
        <w:t>Diese Vereinbarung enthält die vollständige Abrede der Parteien zur Vertraulichkeit und ersetzt frühere Absprachen hierzu.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Vertraulichkeitsvereinbarung  ·  Dok.-Nr. NDA-2026-001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