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Angebot: Einführung von Odoo</w:t>
      </w:r>
    </w:p>
    <w:p>
      <w:pPr>
        <w:spacing w:after="280"/>
      </w:pPr>
      <w:r>
        <w:rPr>
          <w:color w:val="7F7F7F"/>
          <w:sz w:val="22"/>
        </w:rPr>
        <w:t>biotec GmbH  ·  Version 2, Stand 01.09.2026</w:t>
      </w:r>
    </w:p>
    <w:tbl>
      <w:tblPr>
        <w:tblStyle w:val="TableGrid"/>
        <w:tblW w:type="auto" w:w="0"/>
        <w:jc w:val="left"/>
        <w:tblLook w:firstColumn="1" w:firstRow="1" w:lastColumn="0" w:lastRow="0" w:noHBand="0" w:noVBand="1" w:val="04A0"/>
      </w:tblPr>
      <w:tblGrid>
        <w:gridCol w:w="4819"/>
        <w:gridCol w:w="4819"/>
      </w:tblGrid>
      <w:tr>
        <w:tc>
          <w:tcPr>
            <w:tcW w:type="dxa" w:w="2608"/>
            <w:shd w:val="clear" w:fill="1F4E79"/>
          </w:tcPr>
          <w:p>
            <w:pPr>
              <w:spacing w:after="0"/>
            </w:pPr>
            <w:r>
              <w:rPr>
                <w:b/>
                <w:color w:val="FFFFFF"/>
                <w:sz w:val="19"/>
              </w:rPr>
            </w:r>
          </w:p>
        </w:tc>
        <w:tc>
          <w:tcPr>
            <w:tcW w:type="dxa" w:w="7030"/>
            <w:shd w:val="clear" w:fill="1F4E79"/>
          </w:tcPr>
          <w:p>
            <w:pPr>
              <w:spacing w:after="0"/>
            </w:pPr>
            <w:r>
              <w:rPr>
                <w:b/>
                <w:color w:val="FFFFFF"/>
                <w:sz w:val="19"/>
              </w:rPr>
              <w:t>Angaben</w:t>
            </w:r>
          </w:p>
        </w:tc>
      </w:tr>
      <w:tr>
        <w:tc>
          <w:tcPr>
            <w:tcW w:type="dxa" w:w="2608"/>
          </w:tcPr>
          <w:p>
            <w:pPr>
              <w:spacing w:after="0"/>
            </w:pPr>
            <w:r>
              <w:rPr>
                <w:b w:val="0"/>
                <w:sz w:val="19"/>
              </w:rPr>
              <w:t>Angebot für</w:t>
            </w:r>
          </w:p>
        </w:tc>
        <w:tc>
          <w:tcPr>
            <w:tcW w:type="dxa" w:w="7030"/>
          </w:tcPr>
          <w:p>
            <w:pPr>
              <w:spacing w:after="0"/>
            </w:pPr>
            <w:r>
              <w:rPr>
                <w:b w:val="0"/>
                <w:sz w:val="19"/>
              </w:rPr>
              <w:t>biotec GmbH, Umwelt-Analytik-Beratung-Service</w:t>
              <w:br/>
              <w:t>Elbrachtsweg 76, 33332 Gütersloh</w:t>
              <w:br/>
              <w:t>z. Hd. Herrn Dr. Thomas Wilke, Geschäftsführer</w:t>
            </w:r>
          </w:p>
        </w:tc>
      </w:tr>
      <w:tr>
        <w:tc>
          <w:tcPr>
            <w:tcW w:type="dxa" w:w="2608"/>
          </w:tcPr>
          <w:p>
            <w:pPr>
              <w:spacing w:after="0"/>
            </w:pPr>
            <w:r>
              <w:rPr>
                <w:b w:val="0"/>
                <w:sz w:val="19"/>
              </w:rPr>
              <w:t>Ansprechpartner biotec</w:t>
            </w:r>
          </w:p>
        </w:tc>
        <w:tc>
          <w:tcPr>
            <w:tcW w:type="dxa" w:w="7030"/>
          </w:tcPr>
          <w:p>
            <w:pPr>
              <w:spacing w:after="0"/>
            </w:pPr>
            <w:r>
              <w:rPr>
                <w:b w:val="0"/>
                <w:sz w:val="19"/>
              </w:rPr>
              <w:t>Michael Brand, Projektleitung Hygieneinspektion (fachlich und technisch)</w:t>
              <w:br/>
              <w:t>Nicole Krupa (kaufmännisch und organisatorisch)</w:t>
            </w:r>
          </w:p>
        </w:tc>
      </w:tr>
      <w:tr>
        <w:tc>
          <w:tcPr>
            <w:tcW w:type="dxa" w:w="2608"/>
          </w:tcPr>
          <w:p>
            <w:pPr>
              <w:spacing w:after="0"/>
            </w:pPr>
            <w:r>
              <w:rPr>
                <w:b w:val="0"/>
                <w:sz w:val="19"/>
              </w:rPr>
              <w:t>Angebot von</w:t>
            </w:r>
          </w:p>
        </w:tc>
        <w:tc>
          <w:tcPr>
            <w:tcW w:type="dxa" w:w="7030"/>
          </w:tcPr>
          <w:p>
            <w:pPr>
              <w:spacing w:after="0"/>
            </w:pPr>
            <w:r>
              <w:rPr>
                <w:b w:val="0"/>
                <w:sz w:val="19"/>
              </w:rPr>
              <w:t>CertoClav Sterilizer GmbH, Geschäftsbereich Software</w:t>
              <w:br/>
              <w:t>Peintner Straße 10, 4060 Leonding, Österreich</w:t>
              <w:br/>
              <w:t>Michael Simon (geb. Dirix), MSc., Geschäftsführer</w:t>
              <w:br/>
              <w:t>michael.simon@certoclav.com</w:t>
            </w:r>
          </w:p>
        </w:tc>
      </w:tr>
      <w:tr>
        <w:tc>
          <w:tcPr>
            <w:tcW w:type="dxa" w:w="2608"/>
          </w:tcPr>
          <w:p>
            <w:pPr>
              <w:spacing w:after="0"/>
            </w:pPr>
            <w:r>
              <w:rPr>
                <w:b w:val="0"/>
                <w:sz w:val="19"/>
              </w:rPr>
              <w:t>Dokument</w:t>
            </w:r>
          </w:p>
        </w:tc>
        <w:tc>
          <w:tcPr>
            <w:tcW w:type="dxa" w:w="7030"/>
          </w:tcPr>
          <w:p>
            <w:pPr>
              <w:spacing w:after="0"/>
            </w:pPr>
            <w:r>
              <w:rPr>
                <w:b w:val="0"/>
                <w:sz w:val="19"/>
              </w:rPr>
              <w:t>ANG-2026-001  ·  Version 2, Stand 01.09.2026</w:t>
            </w:r>
          </w:p>
        </w:tc>
      </w:tr>
      <w:tr>
        <w:tc>
          <w:tcPr>
            <w:tcW w:type="dxa" w:w="2608"/>
          </w:tcPr>
          <w:p>
            <w:pPr>
              <w:spacing w:after="0"/>
            </w:pPr>
            <w:r>
              <w:rPr>
                <w:b w:val="0"/>
                <w:sz w:val="19"/>
              </w:rPr>
              <w:t>Gültigkeit</w:t>
            </w:r>
          </w:p>
        </w:tc>
        <w:tc>
          <w:tcPr>
            <w:tcW w:type="dxa" w:w="7030"/>
          </w:tcPr>
          <w:p>
            <w:pPr>
              <w:spacing w:after="0"/>
            </w:pPr>
            <w:r>
              <w:rPr>
                <w:b w:val="0"/>
                <w:sz w:val="19"/>
              </w:rPr>
              <w:t>60 Tage ab Ausstellungsdatum. Die kalkulierten Sätze gelten für Leistungen innerhalb von zwölf Monaten nach Beauftragung</w:t>
            </w:r>
          </w:p>
        </w:tc>
      </w:tr>
    </w:tbl>
    <w:p/>
    <w:p>
      <w:pPr>
        <w:spacing w:before="280" w:after="0"/>
      </w:pPr>
      <w:r>
        <w:rPr>
          <w:rFonts w:ascii="Calibri" w:hAnsi="Calibri"/>
          <w:b/>
          <w:color w:val="7F7F7F"/>
          <w:sz w:val="15"/>
        </w:rPr>
        <w:t>WORUM ES GEHT</w:t>
      </w:r>
    </w:p>
    <w:p>
      <w:pPr>
        <w:spacing w:before="40" w:after="120"/>
        <w:pBdr>
          <w:bottom w:val="single" w:sz="8" w:space="2" w:color="1F4E79"/>
        </w:pBdr>
      </w:pPr>
      <w:r>
        <w:rPr>
          <w:b/>
          <w:color w:val="1F4E79"/>
          <w:sz w:val="26"/>
        </w:rPr>
        <w:t>Ausgangslage</w:t>
      </w:r>
    </w:p>
    <w:p>
      <w:pPr>
        <w:spacing w:after="120"/>
      </w:pPr>
      <w:r>
        <w:rPr>
          <w:b w:val="0"/>
          <w:i w:val="0"/>
          <w:sz w:val="20"/>
        </w:rPr>
        <w:t>biotec arbeitet an drei Standorten – Gütersloh mit Labor und Verwaltung, München mit den Hygienekontrollen und dem Technologiepark Mittweida für die Analytik von Boden und Wasser. Die kaufmännischen Abläufe laufen heute außerhalb eines Systems: Rechnungen, Buchhaltung, Artikel und Lager, Zeiterfassung und das gesamte Schulungsgeschäft werden von Hand geführt. Ein Buchhaltungssystem besteht nicht.</w:t>
      </w:r>
    </w:p>
    <w:p>
      <w:pPr>
        <w:spacing w:after="120"/>
      </w:pPr>
      <w:r>
        <w:rPr>
          <w:b w:val="0"/>
          <w:i w:val="0"/>
          <w:sz w:val="20"/>
        </w:rPr>
        <w:t>Die fachliche Arbeit trägt eine über Jahre gewachsene Eigenentwicklung. Wir haben Quellcode und Datenbestand ausgewertet: 255 Programmeinheiten, 430 Tabellen, Gutachten entstehen über eine automatisierte Satzstrecke. Rund die Hälfte der Anwendung deckt Aufgaben ab, die Odoo mitbringt. Die andere Hälfte ist Fachlogik ohne Entsprechung: Prüflisten nach VDI 6022, Labormasken, Maßnahmenkatalog und die Gutachtenerzeugung.</w:t>
      </w:r>
    </w:p>
    <w:p>
      <w:pPr>
        <w:spacing w:after="40"/>
      </w:pPr>
      <w:r>
        <w:rPr>
          <w:i/>
          <w:color w:val="7F7F7F"/>
          <w:sz w:val="18"/>
        </w:rPr>
        <w:t>Daraus folgt der Zuschnitt: Odoo übernimmt das Kaufmännische, die bewährte Gutachtenerstellung bleibt. Verbunden werden beide über eine Stammdatenbrücke. Was funktioniert, wird nicht ersetzt.</w:t>
      </w:r>
    </w:p>
    <w:p>
      <w:pPr>
        <w:spacing w:before="280" w:after="0"/>
      </w:pPr>
      <w:r>
        <w:rPr>
          <w:rFonts w:ascii="Calibri" w:hAnsi="Calibri"/>
          <w:b/>
          <w:color w:val="7F7F7F"/>
          <w:sz w:val="15"/>
        </w:rPr>
        <w:t>ZWEI SYSTEME, EINE DATENBASIS</w:t>
      </w:r>
    </w:p>
    <w:p>
      <w:pPr>
        <w:spacing w:before="40" w:after="120"/>
        <w:pBdr>
          <w:bottom w:val="single" w:sz="8" w:space="2" w:color="1F4E79"/>
        </w:pBdr>
      </w:pPr>
      <w:r>
        <w:rPr>
          <w:b/>
          <w:color w:val="1F4E79"/>
          <w:sz w:val="26"/>
        </w:rPr>
        <w:t>Der Zuschnitt</w:t>
      </w:r>
    </w:p>
    <w:tbl>
      <w:tblPr>
        <w:tblStyle w:val="TableGrid"/>
        <w:tblW w:type="auto" w:w="0"/>
        <w:jc w:val="left"/>
        <w:tblLook w:firstColumn="1" w:firstRow="1" w:lastColumn="0" w:lastRow="0" w:noHBand="0" w:noVBand="1" w:val="04A0"/>
      </w:tblPr>
      <w:tblGrid>
        <w:gridCol w:w="3213"/>
        <w:gridCol w:w="3213"/>
        <w:gridCol w:w="3213"/>
      </w:tblGrid>
      <w:tr>
        <w:tc>
          <w:tcPr>
            <w:tcW w:type="dxa" w:w="3061"/>
            <w:shd w:val="clear" w:fill="1F4E79"/>
          </w:tcPr>
          <w:p>
            <w:pPr>
              <w:spacing w:after="0"/>
            </w:pPr>
            <w:r>
              <w:rPr>
                <w:b/>
                <w:color w:val="FFFFFF"/>
                <w:sz w:val="19"/>
              </w:rPr>
              <w:t>Bereich</w:t>
            </w:r>
          </w:p>
        </w:tc>
        <w:tc>
          <w:tcPr>
            <w:tcW w:type="dxa" w:w="1928"/>
            <w:shd w:val="clear" w:fill="1F4E79"/>
          </w:tcPr>
          <w:p>
            <w:pPr>
              <w:spacing w:after="0"/>
            </w:pPr>
            <w:r>
              <w:rPr>
                <w:b/>
                <w:color w:val="FFFFFF"/>
                <w:sz w:val="19"/>
              </w:rPr>
              <w:t>Künftig</w:t>
            </w:r>
          </w:p>
        </w:tc>
        <w:tc>
          <w:tcPr>
            <w:tcW w:type="dxa" w:w="4649"/>
            <w:shd w:val="clear" w:fill="1F4E79"/>
          </w:tcPr>
          <w:p>
            <w:pPr>
              <w:spacing w:after="0"/>
            </w:pPr>
            <w:r>
              <w:rPr>
                <w:b/>
                <w:color w:val="FFFFFF"/>
                <w:sz w:val="19"/>
              </w:rPr>
              <w:t>Anmerkung</w:t>
            </w:r>
          </w:p>
        </w:tc>
      </w:tr>
      <w:tr>
        <w:tc>
          <w:tcPr>
            <w:tcW w:type="dxa" w:w="3061"/>
            <w:shd w:val="clear" w:fill="DCE6F1"/>
          </w:tcPr>
          <w:p>
            <w:pPr>
              <w:spacing w:after="0"/>
            </w:pPr>
            <w:r>
              <w:rPr>
                <w:b w:val="0"/>
                <w:sz w:val="19"/>
              </w:rPr>
              <w:t>Akquise und Interessenten</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10.387 Adressen, Option O1</w:t>
            </w:r>
          </w:p>
        </w:tc>
      </w:tr>
      <w:tr>
        <w:tc>
          <w:tcPr>
            <w:tcW w:type="dxa" w:w="3061"/>
            <w:shd w:val="clear" w:fill="DCE6F1"/>
          </w:tcPr>
          <w:p>
            <w:pPr>
              <w:spacing w:after="0"/>
            </w:pPr>
            <w:r>
              <w:rPr>
                <w:b w:val="0"/>
                <w:sz w:val="19"/>
              </w:rPr>
              <w:t>Kunden, Werke, Gebäude</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führender Stand für beide Systeme</w:t>
            </w:r>
          </w:p>
        </w:tc>
      </w:tr>
      <w:tr>
        <w:tc>
          <w:tcPr>
            <w:tcW w:type="dxa" w:w="3061"/>
            <w:shd w:val="clear" w:fill="DCE6F1"/>
          </w:tcPr>
          <w:p>
            <w:pPr>
              <w:spacing w:after="0"/>
            </w:pPr>
            <w:r>
              <w:rPr>
                <w:b w:val="0"/>
                <w:sz w:val="19"/>
              </w:rPr>
              <w:t>Anlagenstamm, Prüfintervalle</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938 RLT-Anlagen, Turnussteuerung neu</w:t>
            </w:r>
          </w:p>
        </w:tc>
      </w:tr>
      <w:tr>
        <w:tc>
          <w:tcPr>
            <w:tcW w:type="dxa" w:w="3061"/>
            <w:shd w:val="clear" w:fill="DCE6F1"/>
          </w:tcPr>
          <w:p>
            <w:pPr>
              <w:spacing w:after="0"/>
            </w:pPr>
            <w:r>
              <w:rPr>
                <w:b w:val="0"/>
                <w:sz w:val="19"/>
              </w:rPr>
              <w:t>Angebote und Aufträge</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Auftragskennung wird an das Altsystem übergeben</w:t>
            </w:r>
          </w:p>
        </w:tc>
      </w:tr>
      <w:tr>
        <w:tc>
          <w:tcPr>
            <w:tcW w:type="dxa" w:w="3061"/>
            <w:shd w:val="clear" w:fill="DCE6F1"/>
          </w:tcPr>
          <w:p>
            <w:pPr>
              <w:spacing w:after="0"/>
            </w:pPr>
            <w:r>
              <w:rPr>
                <w:b w:val="0"/>
                <w:sz w:val="19"/>
              </w:rPr>
              <w:t>Rechnungen und Buchhaltung</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heute kein System, SKR04</w:t>
            </w:r>
          </w:p>
        </w:tc>
      </w:tr>
      <w:tr>
        <w:tc>
          <w:tcPr>
            <w:tcW w:type="dxa" w:w="3061"/>
            <w:shd w:val="clear" w:fill="DCE6F1"/>
          </w:tcPr>
          <w:p>
            <w:pPr>
              <w:spacing w:after="0"/>
            </w:pPr>
            <w:r>
              <w:rPr>
                <w:b w:val="0"/>
                <w:sz w:val="19"/>
              </w:rPr>
              <w:t>Artikel, Lager, Einkauf</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heute mehrere Einzeldokumente</w:t>
            </w:r>
          </w:p>
        </w:tc>
      </w:tr>
      <w:tr>
        <w:tc>
          <w:tcPr>
            <w:tcW w:type="dxa" w:w="3061"/>
            <w:shd w:val="clear" w:fill="DCE6F1"/>
          </w:tcPr>
          <w:p>
            <w:pPr>
              <w:spacing w:after="0"/>
            </w:pPr>
            <w:r>
              <w:rPr>
                <w:b w:val="0"/>
                <w:sz w:val="19"/>
              </w:rPr>
              <w:t>Zeiterfassung</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heute außerhalb</w:t>
            </w:r>
          </w:p>
        </w:tc>
      </w:tr>
      <w:tr>
        <w:tc>
          <w:tcPr>
            <w:tcW w:type="dxa" w:w="3061"/>
            <w:shd w:val="clear" w:fill="DCE6F1"/>
          </w:tcPr>
          <w:p>
            <w:pPr>
              <w:spacing w:after="0"/>
            </w:pPr>
            <w:r>
              <w:rPr>
                <w:b w:val="0"/>
                <w:sz w:val="19"/>
              </w:rPr>
              <w:t>Schulungsgeschäft</w:t>
            </w:r>
          </w:p>
        </w:tc>
        <w:tc>
          <w:tcPr>
            <w:tcW w:type="dxa" w:w="1928"/>
            <w:shd w:val="clear" w:fill="DCE6F1"/>
          </w:tcPr>
          <w:p>
            <w:pPr>
              <w:spacing w:after="0"/>
            </w:pPr>
            <w:r>
              <w:rPr>
                <w:b/>
                <w:sz w:val="19"/>
              </w:rPr>
              <w:t>Odoo</w:t>
            </w:r>
          </w:p>
        </w:tc>
        <w:tc>
          <w:tcPr>
            <w:tcW w:type="dxa" w:w="4649"/>
            <w:shd w:val="clear" w:fill="DCE6F1"/>
          </w:tcPr>
          <w:p>
            <w:pPr>
              <w:spacing w:after="0"/>
            </w:pPr>
            <w:r>
              <w:rPr>
                <w:b w:val="0"/>
                <w:sz w:val="19"/>
              </w:rPr>
              <w:t>heute außerhalb, Phase 2</w:t>
            </w:r>
          </w:p>
        </w:tc>
      </w:tr>
      <w:tr>
        <w:tc>
          <w:tcPr>
            <w:tcW w:type="dxa" w:w="3061"/>
          </w:tcPr>
          <w:p>
            <w:pPr>
              <w:spacing w:after="0"/>
            </w:pPr>
            <w:r>
              <w:rPr>
                <w:b w:val="0"/>
                <w:sz w:val="19"/>
              </w:rPr>
              <w:t>Zusatzsoftware Anlagenliste</w:t>
            </w:r>
          </w:p>
        </w:tc>
        <w:tc>
          <w:tcPr>
            <w:tcW w:type="dxa" w:w="1928"/>
          </w:tcPr>
          <w:p>
            <w:pPr>
              <w:spacing w:after="0"/>
            </w:pPr>
            <w:r>
              <w:rPr>
                <w:b/>
                <w:sz w:val="19"/>
              </w:rPr>
              <w:t>entfällt</w:t>
            </w:r>
          </w:p>
        </w:tc>
        <w:tc>
          <w:tcPr>
            <w:tcW w:type="dxa" w:w="4649"/>
          </w:tcPr>
          <w:p>
            <w:pPr>
              <w:spacing w:after="0"/>
            </w:pPr>
            <w:r>
              <w:rPr>
                <w:b w:val="0"/>
                <w:sz w:val="19"/>
              </w:rPr>
              <w:t>Druckausgabe kommt aus Odoo</w:t>
            </w:r>
          </w:p>
        </w:tc>
      </w:tr>
      <w:tr>
        <w:tc>
          <w:tcPr>
            <w:tcW w:type="dxa" w:w="3061"/>
          </w:tcPr>
          <w:p>
            <w:pPr>
              <w:spacing w:after="0"/>
            </w:pPr>
            <w:r>
              <w:rPr>
                <w:b w:val="0"/>
                <w:sz w:val="19"/>
              </w:rPr>
              <w:t>Prüflisten nach VDI 6022</w:t>
            </w:r>
          </w:p>
        </w:tc>
        <w:tc>
          <w:tcPr>
            <w:tcW w:type="dxa" w:w="1928"/>
          </w:tcPr>
          <w:p>
            <w:pPr>
              <w:spacing w:after="0"/>
            </w:pPr>
            <w:r>
              <w:rPr>
                <w:b w:val="0"/>
                <w:sz w:val="19"/>
              </w:rPr>
              <w:t>bestehendes System</w:t>
            </w:r>
          </w:p>
        </w:tc>
        <w:tc>
          <w:tcPr>
            <w:tcW w:type="dxa" w:w="4649"/>
          </w:tcPr>
          <w:p>
            <w:pPr>
              <w:spacing w:after="0"/>
            </w:pPr>
            <w:r>
              <w:rPr>
                <w:b w:val="0"/>
                <w:sz w:val="19"/>
              </w:rPr>
              <w:t>bleibt unverändert</w:t>
            </w:r>
          </w:p>
        </w:tc>
      </w:tr>
      <w:tr>
        <w:tc>
          <w:tcPr>
            <w:tcW w:type="dxa" w:w="3061"/>
          </w:tcPr>
          <w:p>
            <w:pPr>
              <w:spacing w:after="0"/>
            </w:pPr>
            <w:r>
              <w:rPr>
                <w:b w:val="0"/>
                <w:sz w:val="19"/>
              </w:rPr>
              <w:t>Gutachten erstellen und bearbeiten</w:t>
            </w:r>
          </w:p>
        </w:tc>
        <w:tc>
          <w:tcPr>
            <w:tcW w:type="dxa" w:w="1928"/>
          </w:tcPr>
          <w:p>
            <w:pPr>
              <w:spacing w:after="0"/>
            </w:pPr>
            <w:r>
              <w:rPr>
                <w:b w:val="0"/>
                <w:sz w:val="19"/>
              </w:rPr>
              <w:t>bestehendes System</w:t>
            </w:r>
          </w:p>
        </w:tc>
        <w:tc>
          <w:tcPr>
            <w:tcW w:type="dxa" w:w="4649"/>
          </w:tcPr>
          <w:p>
            <w:pPr>
              <w:spacing w:after="0"/>
            </w:pPr>
            <w:r>
              <w:rPr>
                <w:b w:val="0"/>
                <w:sz w:val="19"/>
              </w:rPr>
              <w:t>Layout und Ablauf bleiben</w:t>
            </w:r>
          </w:p>
        </w:tc>
      </w:tr>
      <w:tr>
        <w:tc>
          <w:tcPr>
            <w:tcW w:type="dxa" w:w="3061"/>
          </w:tcPr>
          <w:p>
            <w:pPr>
              <w:spacing w:after="0"/>
            </w:pPr>
            <w:r>
              <w:rPr>
                <w:b w:val="0"/>
                <w:sz w:val="19"/>
              </w:rPr>
              <w:t>Labormasken, Messergebnisse</w:t>
            </w:r>
          </w:p>
        </w:tc>
        <w:tc>
          <w:tcPr>
            <w:tcW w:type="dxa" w:w="1928"/>
          </w:tcPr>
          <w:p>
            <w:pPr>
              <w:spacing w:after="0"/>
            </w:pPr>
            <w:r>
              <w:rPr>
                <w:b w:val="0"/>
                <w:sz w:val="19"/>
              </w:rPr>
              <w:t>bestehendes System</w:t>
            </w:r>
          </w:p>
        </w:tc>
        <w:tc>
          <w:tcPr>
            <w:tcW w:type="dxa" w:w="4649"/>
          </w:tcPr>
          <w:p>
            <w:pPr>
              <w:spacing w:after="0"/>
            </w:pPr>
            <w:r>
              <w:rPr>
                <w:b w:val="0"/>
                <w:sz w:val="19"/>
              </w:rPr>
              <w:t>bleibt unverändert</w:t>
            </w:r>
          </w:p>
        </w:tc>
      </w:tr>
      <w:tr>
        <w:tc>
          <w:tcPr>
            <w:tcW w:type="dxa" w:w="3061"/>
          </w:tcPr>
          <w:p>
            <w:pPr>
              <w:spacing w:after="0"/>
            </w:pPr>
            <w:r>
              <w:rPr>
                <w:b w:val="0"/>
                <w:sz w:val="19"/>
              </w:rPr>
              <w:t>Fotodokumentation vor Ort</w:t>
            </w:r>
          </w:p>
        </w:tc>
        <w:tc>
          <w:tcPr>
            <w:tcW w:type="dxa" w:w="1928"/>
          </w:tcPr>
          <w:p>
            <w:pPr>
              <w:spacing w:after="0"/>
            </w:pPr>
            <w:r>
              <w:rPr>
                <w:b w:val="0"/>
                <w:sz w:val="19"/>
              </w:rPr>
              <w:t>bestehendes System</w:t>
            </w:r>
          </w:p>
        </w:tc>
        <w:tc>
          <w:tcPr>
            <w:tcW w:type="dxa" w:w="4649"/>
          </w:tcPr>
          <w:p>
            <w:pPr>
              <w:spacing w:after="0"/>
            </w:pPr>
            <w:r>
              <w:rPr>
                <w:b w:val="0"/>
                <w:sz w:val="19"/>
              </w:rPr>
              <w:t>Odoo bietet keine Offline-Erfassung</w:t>
            </w:r>
          </w:p>
        </w:tc>
      </w:tr>
    </w:tbl>
    <w:p>
      <w:pPr>
        <w:spacing w:after="240"/>
      </w:pPr>
      <w:r>
        <w:rPr>
          <w:b w:val="0"/>
          <w:i w:val="0"/>
          <w:sz w:val="20"/>
        </w:rPr>
        <w:t>Die Stammdatenbrücke spiegelt Kunden und Anlagen aus Odoo in den Altbestand, sodass die Gutachtenanwendung sie unverändert liest. Die Erfassungsmasken für Kunden, Akquise und Angebote im Altsystem werden abgeschaltet, damit Stammdaten nur an einer Stelle entstehen – diese Arbeiten erbringt Westbomke EDV, siehe Risiken.</w:t>
      </w:r>
    </w:p>
    <w:p>
      <w:r>
        <w:br w:type="page"/>
      </w:r>
    </w:p>
    <w:p>
      <w:pPr>
        <w:spacing w:before="280" w:after="0"/>
      </w:pPr>
      <w:r>
        <w:rPr>
          <w:rFonts w:ascii="Calibri" w:hAnsi="Calibri"/>
          <w:b/>
          <w:color w:val="7F7F7F"/>
          <w:sz w:val="15"/>
        </w:rPr>
        <w:t>ACHT ARBEITSPAKETE</w:t>
      </w:r>
    </w:p>
    <w:p>
      <w:pPr>
        <w:spacing w:before="40" w:after="120"/>
        <w:pBdr>
          <w:bottom w:val="single" w:sz="8" w:space="2" w:color="1F4E79"/>
        </w:pBdr>
      </w:pPr>
      <w:r>
        <w:rPr>
          <w:b/>
          <w:color w:val="1F4E79"/>
          <w:sz w:val="26"/>
        </w:rPr>
        <w:t>Leistungsumfang</w:t>
      </w:r>
    </w:p>
    <w:p>
      <w:pPr>
        <w:spacing w:after="200"/>
      </w:pPr>
      <w:r>
        <w:rPr>
          <w:b w:val="0"/>
          <w:i w:val="0"/>
          <w:sz w:val="20"/>
        </w:rPr>
        <w:t xml:space="preserve">Die Gliederung unterscheidet aktivierungsbezogene von laufenden Leistungen. Zuordnungsregel: </w:t>
      </w:r>
      <w:r>
        <w:rPr>
          <w:b/>
          <w:i w:val="0"/>
          <w:sz w:val="20"/>
        </w:rPr>
        <w:t>Aktivierungsbezogen</w:t>
      </w:r>
      <w:r>
        <w:rPr>
          <w:b w:val="0"/>
          <w:i w:val="0"/>
          <w:sz w:val="20"/>
        </w:rPr>
        <w:t xml:space="preserve"> sind Leistungen zur technischen Herstellung und Inbetriebnahme bis zum Meilenstein Betriebsbereitschaft. </w:t>
      </w:r>
      <w:r>
        <w:rPr>
          <w:b/>
          <w:i w:val="0"/>
          <w:sz w:val="20"/>
        </w:rPr>
        <w:t>Aufwand</w:t>
      </w:r>
      <w:r>
        <w:rPr>
          <w:b w:val="0"/>
          <w:i w:val="0"/>
          <w:sz w:val="20"/>
        </w:rPr>
        <w:t xml:space="preserve"> sind Beratung, Datenaufbereitung, Befähigung, Betriebsübergang und alle Leistungen nach Betriebsbereitschaft. Die bilanzielle Beurteilung trifft biotec mit Steuerberater und Wirtschaftsprüfer.</w:t>
      </w:r>
    </w:p>
    <w:p>
      <w:pPr>
        <w:spacing w:before="280" w:after="0"/>
      </w:pPr>
      <w:r>
        <w:rPr>
          <w:rFonts w:ascii="Calibri" w:hAnsi="Calibri"/>
          <w:b/>
          <w:color w:val="7F7F7F"/>
          <w:sz w:val="15"/>
        </w:rPr>
        <w:t>41,0 PT</w:t>
      </w:r>
    </w:p>
    <w:p>
      <w:pPr>
        <w:spacing w:before="40" w:after="120"/>
        <w:pBdr>
          <w:bottom w:val="single" w:sz="8" w:space="2" w:color="1F4E79"/>
        </w:pBdr>
      </w:pPr>
      <w:r>
        <w:rPr>
          <w:b/>
          <w:color w:val="1F4E79"/>
          <w:sz w:val="26"/>
        </w:rPr>
        <w:t>1 · Analyse, Konzeption und Projektleitung</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1.1</w:t>
            </w:r>
          </w:p>
        </w:tc>
        <w:tc>
          <w:tcPr>
            <w:tcW w:type="dxa" w:w="6576"/>
          </w:tcPr>
          <w:p>
            <w:pPr>
              <w:spacing w:after="0"/>
            </w:pPr>
            <w:r>
              <w:rPr>
                <w:b w:val="0"/>
                <w:sz w:val="19"/>
              </w:rPr>
              <w:t>Prozessaufnahme Labor: Auftrag, Probenahme, Bebrütung, Auszählung, Gutachtenübergabe, Rechnung – an allen drei Standorten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5,0</w:t>
            </w:r>
          </w:p>
        </w:tc>
      </w:tr>
      <w:tr>
        <w:tc>
          <w:tcPr>
            <w:tcW w:type="dxa" w:w="794"/>
          </w:tcPr>
          <w:p>
            <w:pPr>
              <w:spacing w:after="0"/>
            </w:pPr>
            <w:r>
              <w:rPr>
                <w:b w:val="0"/>
                <w:sz w:val="19"/>
              </w:rPr>
              <w:t>1.2</w:t>
            </w:r>
          </w:p>
        </w:tc>
        <w:tc>
          <w:tcPr>
            <w:tcW w:type="dxa" w:w="6576"/>
          </w:tcPr>
          <w:p>
            <w:pPr>
              <w:spacing w:after="0"/>
            </w:pPr>
            <w:r>
              <w:rPr>
                <w:b w:val="0"/>
                <w:sz w:val="19"/>
              </w:rPr>
              <w:t>Prozessaufnahme Schulungsgeschäft und kaufmännische Abläufe. Für das Schulungsgeschäft gibt es heute kein System und keine Dokumentation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1.3</w:t>
            </w:r>
          </w:p>
        </w:tc>
        <w:tc>
          <w:tcPr>
            <w:tcW w:type="dxa" w:w="6576"/>
          </w:tcPr>
          <w:p>
            <w:pPr>
              <w:spacing w:after="0"/>
            </w:pPr>
            <w:r>
              <w:rPr>
                <w:b w:val="0"/>
                <w:sz w:val="19"/>
              </w:rPr>
              <w:t>Grobkonzept: Abbildungsentscheidungen je Bereich, abgestimmt und freigegeben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1.4</w:t>
            </w:r>
          </w:p>
        </w:tc>
        <w:tc>
          <w:tcPr>
            <w:tcW w:type="dxa" w:w="6576"/>
          </w:tcPr>
          <w:p>
            <w:pPr>
              <w:spacing w:after="0"/>
            </w:pPr>
            <w:r>
              <w:rPr>
                <w:b w:val="0"/>
                <w:sz w:val="19"/>
              </w:rPr>
              <w:t>Detailspezifikation je Modul – prüffähige Anforderungsbeschreibung und Grundlage der Abnahme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1.5</w:t>
            </w:r>
          </w:p>
        </w:tc>
        <w:tc>
          <w:tcPr>
            <w:tcW w:type="dxa" w:w="6576"/>
          </w:tcPr>
          <w:p>
            <w:pPr>
              <w:spacing w:after="0"/>
            </w:pPr>
            <w:r>
              <w:rPr>
                <w:b w:val="0"/>
                <w:sz w:val="19"/>
              </w:rPr>
              <w:t>Rollen- und Rechtekonzept, Grundlage für Lizenzzahl und Zugriffe</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1.6</w:t>
            </w:r>
          </w:p>
        </w:tc>
        <w:tc>
          <w:tcPr>
            <w:tcW w:type="dxa" w:w="6576"/>
          </w:tcPr>
          <w:p>
            <w:pPr>
              <w:spacing w:after="0"/>
            </w:pPr>
            <w:r>
              <w:rPr>
                <w:b w:val="0"/>
                <w:sz w:val="19"/>
              </w:rPr>
              <w:t>Auftaktveranstaltung: Vorbereitung und Durchführung</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1,0</w:t>
            </w:r>
          </w:p>
        </w:tc>
      </w:tr>
      <w:tr>
        <w:tc>
          <w:tcPr>
            <w:tcW w:type="dxa" w:w="794"/>
          </w:tcPr>
          <w:p>
            <w:pPr>
              <w:spacing w:after="0"/>
            </w:pPr>
            <w:r>
              <w:rPr>
                <w:b w:val="0"/>
                <w:sz w:val="19"/>
              </w:rPr>
              <w:t>1.7</w:t>
            </w:r>
          </w:p>
        </w:tc>
        <w:tc>
          <w:tcPr>
            <w:tcW w:type="dxa" w:w="6576"/>
          </w:tcPr>
          <w:p>
            <w:pPr>
              <w:spacing w:after="0"/>
            </w:pPr>
            <w:r>
              <w:rPr>
                <w:b w:val="0"/>
                <w:sz w:val="19"/>
              </w:rPr>
              <w:t>Projektleitung, Abstimmungen, Statusberichte über die Laufzeit</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20,0</w:t>
            </w:r>
          </w:p>
        </w:tc>
      </w:tr>
      <w:tr>
        <w:tc>
          <w:tcPr>
            <w:tcW w:type="dxa" w:w="794"/>
          </w:tcPr>
          <w:p>
            <w:pPr>
              <w:spacing w:after="0"/>
            </w:pPr>
            <w:r>
              <w:rPr>
                <w:b w:val="0"/>
                <w:sz w:val="19"/>
              </w:rPr>
              <w:t>1.8</w:t>
            </w:r>
          </w:p>
        </w:tc>
        <w:tc>
          <w:tcPr>
            <w:tcW w:type="dxa" w:w="6576"/>
          </w:tcPr>
          <w:p>
            <w:pPr>
              <w:spacing w:after="0"/>
            </w:pPr>
            <w:r>
              <w:rPr>
                <w:b w:val="0"/>
                <w:sz w:val="19"/>
              </w:rPr>
              <w:t>Projektabschluss, Übergabeverzeichnis der Arbeitsergebnisse, Abnahmeprotokolle</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shd w:val="clear" w:fill="DCE6F1"/>
          </w:tcPr>
          <w:p>
            <w:pPr>
              <w:spacing w:after="0"/>
            </w:pPr>
          </w:p>
        </w:tc>
        <w:tc>
          <w:tcPr>
            <w:tcW w:type="dxa" w:w="6576"/>
            <w:shd w:val="clear" w:fill="DCE6F1"/>
          </w:tcPr>
          <w:p>
            <w:pPr>
              <w:spacing w:after="0"/>
            </w:pPr>
            <w:r>
              <w:rPr>
                <w:b/>
                <w:sz w:val="19"/>
              </w:rPr>
              <w:t>Summe 1</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41,0</w:t>
            </w:r>
          </w:p>
        </w:tc>
      </w:tr>
    </w:tbl>
    <w:p/>
    <w:p>
      <w:pPr>
        <w:spacing w:before="280" w:after="0"/>
      </w:pPr>
      <w:r>
        <w:rPr>
          <w:rFonts w:ascii="Calibri" w:hAnsi="Calibri"/>
          <w:b/>
          <w:color w:val="7F7F7F"/>
          <w:sz w:val="15"/>
        </w:rPr>
        <w:t>85,5 PT</w:t>
      </w:r>
    </w:p>
    <w:p>
      <w:pPr>
        <w:spacing w:before="40" w:after="120"/>
        <w:pBdr>
          <w:bottom w:val="single" w:sz="8" w:space="2" w:color="1F4E79"/>
        </w:pBdr>
      </w:pPr>
      <w:r>
        <w:rPr>
          <w:b/>
          <w:color w:val="1F4E79"/>
          <w:sz w:val="26"/>
        </w:rPr>
        <w:t>2 · Konfiguration der Odoo-Module</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2.1</w:t>
            </w:r>
          </w:p>
        </w:tc>
        <w:tc>
          <w:tcPr>
            <w:tcW w:type="dxa" w:w="6576"/>
          </w:tcPr>
          <w:p>
            <w:pPr>
              <w:spacing w:after="0"/>
            </w:pPr>
            <w:r>
              <w:rPr>
                <w:b w:val="0"/>
                <w:sz w:val="19"/>
              </w:rPr>
              <w:t>Grundeinrichtung: Unternehmen, drei Standorte, Nummernkreise lückenlos, Benutzer, Sprachen, Fremdwährung CHF mit Kursquelle und Stichtagsbewertung</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4,5</w:t>
            </w:r>
          </w:p>
        </w:tc>
      </w:tr>
      <w:tr>
        <w:tc>
          <w:tcPr>
            <w:tcW w:type="dxa" w:w="794"/>
          </w:tcPr>
          <w:p>
            <w:pPr>
              <w:spacing w:after="0"/>
            </w:pPr>
            <w:r>
              <w:rPr>
                <w:b w:val="0"/>
                <w:sz w:val="19"/>
              </w:rPr>
              <w:t>2.2</w:t>
            </w:r>
          </w:p>
        </w:tc>
        <w:tc>
          <w:tcPr>
            <w:tcW w:type="dxa" w:w="6576"/>
          </w:tcPr>
          <w:p>
            <w:pPr>
              <w:spacing w:after="0"/>
            </w:pPr>
            <w:r>
              <w:rPr>
                <w:b w:val="0"/>
                <w:sz w:val="19"/>
              </w:rPr>
              <w:t>Kontakte: Kundenkategorien, Ansprechpartner, Werke und Gebäude als untergeordnete Kontakte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2.3</w:t>
            </w:r>
          </w:p>
        </w:tc>
        <w:tc>
          <w:tcPr>
            <w:tcW w:type="dxa" w:w="6576"/>
          </w:tcPr>
          <w:p>
            <w:pPr>
              <w:spacing w:after="0"/>
            </w:pPr>
            <w:r>
              <w:rPr>
                <w:b w:val="0"/>
                <w:sz w:val="19"/>
              </w:rPr>
              <w:t>Verkauf: Preislisten für Prüfleistungen, Kurse und Inhouse-Schulungen, Angebots- und Auftragsarten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2.4</w:t>
            </w:r>
          </w:p>
        </w:tc>
        <w:tc>
          <w:tcPr>
            <w:tcW w:type="dxa" w:w="6576"/>
          </w:tcPr>
          <w:p>
            <w:pPr>
              <w:spacing w:after="0"/>
            </w:pPr>
            <w:r>
              <w:rPr>
                <w:b w:val="0"/>
                <w:sz w:val="19"/>
              </w:rPr>
              <w:t>Rahmenverträge und wiederkehrende Abrechnung: Preisstaffeln, Jahresturnus, Sammelangebote je Werk</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2.5</w:t>
            </w:r>
          </w:p>
        </w:tc>
        <w:tc>
          <w:tcPr>
            <w:tcW w:type="dxa" w:w="6576"/>
          </w:tcPr>
          <w:p>
            <w:pPr>
              <w:spacing w:after="0"/>
            </w:pPr>
            <w:r>
              <w:rPr>
                <w:b w:val="0"/>
                <w:sz w:val="19"/>
              </w:rPr>
              <w:t>Leistungs- und Artikelstamm: Prüfleistungen, Kursarten, Verbrauchsmaterial, Kategorien mit Erlöskonten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2,5</w:t>
            </w:r>
          </w:p>
        </w:tc>
      </w:tr>
      <w:tr>
        <w:tc>
          <w:tcPr>
            <w:tcW w:type="dxa" w:w="794"/>
          </w:tcPr>
          <w:p>
            <w:pPr>
              <w:spacing w:after="0"/>
            </w:pPr>
            <w:r>
              <w:rPr>
                <w:b w:val="0"/>
                <w:sz w:val="19"/>
              </w:rPr>
              <w:t>2.6</w:t>
            </w:r>
          </w:p>
        </w:tc>
        <w:tc>
          <w:tcPr>
            <w:tcW w:type="dxa" w:w="6576"/>
          </w:tcPr>
          <w:p>
            <w:pPr>
              <w:spacing w:after="0"/>
            </w:pPr>
            <w:r>
              <w:rPr>
                <w:b w:val="0"/>
                <w:sz w:val="19"/>
              </w:rPr>
              <w:t>Einkauf und Lager: Lagerorte, Verbrauchsmaterial, Nachbestellregeln für Gelatinefilter und Nährmedien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2.7</w:t>
            </w:r>
          </w:p>
        </w:tc>
        <w:tc>
          <w:tcPr>
            <w:tcW w:type="dxa" w:w="6576"/>
          </w:tcPr>
          <w:p>
            <w:pPr>
              <w:spacing w:after="0"/>
            </w:pPr>
            <w:r>
              <w:rPr>
                <w:b/>
                <w:sz w:val="19"/>
              </w:rPr>
              <w:t>Buchhaltung Grundeinrichtung:</w:t>
            </w:r>
            <w:r>
              <w:rPr>
                <w:b w:val="0"/>
                <w:sz w:val="19"/>
              </w:rPr>
              <w:t xml:space="preserve"> SKR04 mit Sachkontenlänge 4, Personenkonten, Journale, Steuerschlüssel 19 und 7 Prozent, § 13b als Leistungsempfänger für externe Dozenten, Drittland Schweiz, GoBD-Sperrdaten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6,0</w:t>
            </w:r>
          </w:p>
        </w:tc>
      </w:tr>
      <w:tr>
        <w:tc>
          <w:tcPr>
            <w:tcW w:type="dxa" w:w="794"/>
          </w:tcPr>
          <w:p>
            <w:pPr>
              <w:spacing w:after="0"/>
            </w:pPr>
            <w:r>
              <w:rPr>
                <w:b w:val="0"/>
                <w:sz w:val="19"/>
              </w:rPr>
              <w:t>2.8</w:t>
            </w:r>
          </w:p>
        </w:tc>
        <w:tc>
          <w:tcPr>
            <w:tcW w:type="dxa" w:w="6576"/>
          </w:tcPr>
          <w:p>
            <w:pPr>
              <w:spacing w:after="0"/>
            </w:pPr>
            <w:r>
              <w:rPr>
                <w:b w:val="0"/>
                <w:sz w:val="19"/>
              </w:rPr>
              <w:t>Zahlungsverkehr: Kontoauszugsimport CAMT oder MT940, SEPA-Überweisungsdateien, Abgleichregeln, Skonto, Teilzahlungen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2.9</w:t>
            </w:r>
          </w:p>
        </w:tc>
        <w:tc>
          <w:tcPr>
            <w:tcW w:type="dxa" w:w="6576"/>
          </w:tcPr>
          <w:p>
            <w:pPr>
              <w:spacing w:after="0"/>
            </w:pPr>
            <w:r>
              <w:rPr>
                <w:b w:val="0"/>
                <w:sz w:val="19"/>
              </w:rPr>
              <w:t>Mahnwesen: drei Stufen, Texte, Fristen, Gebühren, Sperrlogik, Layout</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2,5</w:t>
            </w:r>
          </w:p>
        </w:tc>
      </w:tr>
      <w:tr>
        <w:tc>
          <w:tcPr>
            <w:tcW w:type="dxa" w:w="794"/>
          </w:tcPr>
          <w:p>
            <w:pPr>
              <w:spacing w:after="0"/>
            </w:pPr>
            <w:r>
              <w:rPr>
                <w:b w:val="0"/>
                <w:sz w:val="19"/>
              </w:rPr>
              <w:t>2.10</w:t>
            </w:r>
          </w:p>
        </w:tc>
        <w:tc>
          <w:tcPr>
            <w:tcW w:type="dxa" w:w="6576"/>
          </w:tcPr>
          <w:p>
            <w:pPr>
              <w:spacing w:after="0"/>
            </w:pPr>
            <w:r>
              <w:rPr>
                <w:b w:val="0"/>
                <w:sz w:val="19"/>
              </w:rPr>
              <w:t>Umsatzsteuervoranmeldung: Auswertung, Abstimmung, Übergabeweg. Die Übermittlung an ELSTER erfolgt außerhalb von Odoo</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1,5</w:t>
            </w:r>
          </w:p>
        </w:tc>
      </w:tr>
      <w:tr>
        <w:tc>
          <w:tcPr>
            <w:tcW w:type="dxa" w:w="794"/>
          </w:tcPr>
          <w:p>
            <w:pPr>
              <w:spacing w:after="0"/>
            </w:pPr>
            <w:r>
              <w:rPr>
                <w:b w:val="0"/>
                <w:sz w:val="19"/>
              </w:rPr>
              <w:t>2.11</w:t>
            </w:r>
          </w:p>
        </w:tc>
        <w:tc>
          <w:tcPr>
            <w:tcW w:type="dxa" w:w="6576"/>
          </w:tcPr>
          <w:p>
            <w:pPr>
              <w:spacing w:after="0"/>
            </w:pPr>
            <w:r>
              <w:rPr>
                <w:b w:val="0"/>
                <w:sz w:val="19"/>
              </w:rPr>
              <w:t>Anzahlungen und Vorkasse einschließlich Kursgebühren, Storno- und Umbuchungsregeln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2.12</w:t>
            </w:r>
          </w:p>
        </w:tc>
        <w:tc>
          <w:tcPr>
            <w:tcW w:type="dxa" w:w="6576"/>
          </w:tcPr>
          <w:p>
            <w:pPr>
              <w:spacing w:after="0"/>
            </w:pPr>
            <w:r>
              <w:rPr>
                <w:b/>
                <w:sz w:val="19"/>
              </w:rPr>
              <w:t>E-Rechnung:</w:t>
            </w:r>
            <w:r>
              <w:rPr>
                <w:b w:val="0"/>
                <w:sz w:val="19"/>
              </w:rPr>
              <w:t xml:space="preserve"> Ausgang als Factur-X und XRechnung, Eingangsverarbeitung, Anbindung an das Peppol-Netz</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2.13</w:t>
            </w:r>
          </w:p>
        </w:tc>
        <w:tc>
          <w:tcPr>
            <w:tcW w:type="dxa" w:w="6576"/>
          </w:tcPr>
          <w:p>
            <w:pPr>
              <w:spacing w:after="0"/>
            </w:pPr>
            <w:r>
              <w:rPr>
                <w:b w:val="0"/>
                <w:sz w:val="19"/>
              </w:rPr>
              <w:t>Eingangsrechnungsverarbeitung mit Freigabeweg</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2.14</w:t>
            </w:r>
          </w:p>
        </w:tc>
        <w:tc>
          <w:tcPr>
            <w:tcW w:type="dxa" w:w="6576"/>
          </w:tcPr>
          <w:p>
            <w:pPr>
              <w:spacing w:after="0"/>
            </w:pPr>
            <w:r>
              <w:rPr>
                <w:b w:val="0"/>
                <w:sz w:val="19"/>
              </w:rPr>
              <w:t>Analytische Buchhaltung: Standort, Geschäftsbereich und Projekt als drei getrennte Dimensionen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3,5</w:t>
            </w:r>
          </w:p>
        </w:tc>
      </w:tr>
      <w:tr>
        <w:tc>
          <w:tcPr>
            <w:tcW w:type="dxa" w:w="794"/>
          </w:tcPr>
          <w:p>
            <w:pPr>
              <w:spacing w:after="0"/>
            </w:pPr>
            <w:r>
              <w:rPr>
                <w:b w:val="0"/>
                <w:sz w:val="19"/>
              </w:rPr>
              <w:t>2.15</w:t>
            </w:r>
          </w:p>
        </w:tc>
        <w:tc>
          <w:tcPr>
            <w:tcW w:type="dxa" w:w="6576"/>
          </w:tcPr>
          <w:p>
            <w:pPr>
              <w:spacing w:after="0"/>
            </w:pPr>
            <w:r>
              <w:rPr>
                <w:b/>
                <w:sz w:val="19"/>
              </w:rPr>
              <w:t>RLT-Anlagenstamm und Turnussteuerung:</w:t>
            </w:r>
            <w:r>
              <w:rPr>
                <w:b w:val="0"/>
                <w:sz w:val="19"/>
              </w:rPr>
              <w:t xml:space="preserve"> Gerätekategorien, Prüfintervalle je Anlagentyp, automatisch erzeugte Wartungsanfragen mit Fälligkeit</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5,0</w:t>
            </w:r>
          </w:p>
        </w:tc>
      </w:tr>
      <w:tr>
        <w:tc>
          <w:tcPr>
            <w:tcW w:type="dxa" w:w="794"/>
          </w:tcPr>
          <w:p>
            <w:pPr>
              <w:spacing w:after="0"/>
            </w:pPr>
            <w:r>
              <w:rPr>
                <w:b w:val="0"/>
                <w:sz w:val="19"/>
              </w:rPr>
              <w:t>2.16</w:t>
            </w:r>
          </w:p>
        </w:tc>
        <w:tc>
          <w:tcPr>
            <w:tcW w:type="dxa" w:w="6576"/>
          </w:tcPr>
          <w:p>
            <w:pPr>
              <w:spacing w:after="0"/>
            </w:pPr>
            <w:r>
              <w:rPr>
                <w:b w:val="0"/>
                <w:sz w:val="19"/>
              </w:rPr>
              <w:t>Projekte und Zeiterfassung: Projektstruktur je Auftrag, analytische Verteilung, Genehmigungsweg, Zeit zu Rechnung für Inhouse-Schulungen und Analytik, Erfassung über das Mobilgerät</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2.17</w:t>
            </w:r>
          </w:p>
        </w:tc>
        <w:tc>
          <w:tcPr>
            <w:tcW w:type="dxa" w:w="6576"/>
          </w:tcPr>
          <w:p>
            <w:pPr>
              <w:spacing w:after="0"/>
            </w:pPr>
            <w:r>
              <w:rPr>
                <w:b w:val="0"/>
                <w:sz w:val="19"/>
              </w:rPr>
              <w:t>Abwesenheiten und Urlaub – Grundlage für Einsatzplanung und Rückstellungen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1,5</w:t>
            </w:r>
          </w:p>
        </w:tc>
      </w:tr>
      <w:tr>
        <w:tc>
          <w:tcPr>
            <w:tcW w:type="dxa" w:w="794"/>
          </w:tcPr>
          <w:p>
            <w:pPr>
              <w:spacing w:after="0"/>
            </w:pPr>
            <w:r>
              <w:rPr>
                <w:b w:val="0"/>
                <w:sz w:val="19"/>
              </w:rPr>
              <w:t>2.18</w:t>
            </w:r>
          </w:p>
        </w:tc>
        <w:tc>
          <w:tcPr>
            <w:tcW w:type="dxa" w:w="6576"/>
          </w:tcPr>
          <w:p>
            <w:pPr>
              <w:spacing w:after="0"/>
            </w:pPr>
            <w:r>
              <w:rPr>
                <w:b w:val="0"/>
                <w:sz w:val="19"/>
              </w:rPr>
              <w:t>Fremdleistungseinkauf mit Auftragsbezug und periodengerechter Abgrenzung</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2,5</w:t>
            </w:r>
          </w:p>
        </w:tc>
      </w:tr>
      <w:tr>
        <w:tc>
          <w:tcPr>
            <w:tcW w:type="dxa" w:w="794"/>
          </w:tcPr>
          <w:p>
            <w:pPr>
              <w:spacing w:after="0"/>
            </w:pPr>
            <w:r>
              <w:rPr>
                <w:b w:val="0"/>
                <w:sz w:val="19"/>
              </w:rPr>
              <w:t>2.19</w:t>
            </w:r>
          </w:p>
        </w:tc>
        <w:tc>
          <w:tcPr>
            <w:tcW w:type="dxa" w:w="6576"/>
          </w:tcPr>
          <w:p>
            <w:pPr>
              <w:spacing w:after="0"/>
            </w:pPr>
            <w:r>
              <w:rPr>
                <w:b w:val="0"/>
                <w:sz w:val="19"/>
              </w:rPr>
              <w:t>Spesen und Reisekosten einschließlich Weiterbelastung an den Kunden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2.20</w:t>
            </w:r>
          </w:p>
        </w:tc>
        <w:tc>
          <w:tcPr>
            <w:tcW w:type="dxa" w:w="6576"/>
          </w:tcPr>
          <w:p>
            <w:pPr>
              <w:spacing w:after="0"/>
            </w:pPr>
            <w:r>
              <w:rPr>
                <w:b w:val="0"/>
                <w:sz w:val="19"/>
              </w:rPr>
              <w:t>Anlagenliste und Probenahmeauftrag als Druckausgabe aus Odoo – ersetzt die heutige Zusatzsoftware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2.21</w:t>
            </w:r>
          </w:p>
        </w:tc>
        <w:tc>
          <w:tcPr>
            <w:tcW w:type="dxa" w:w="6576"/>
          </w:tcPr>
          <w:p>
            <w:pPr>
              <w:spacing w:after="0"/>
            </w:pPr>
            <w:r>
              <w:rPr>
                <w:b/>
                <w:sz w:val="19"/>
              </w:rPr>
              <w:t>Anlagenbuchhaltung:</w:t>
            </w:r>
            <w:r>
              <w:rPr>
                <w:b w:val="0"/>
                <w:sz w:val="19"/>
              </w:rPr>
              <w:t xml:space="preserve"> Anlagenklassen, Abschreibungsmethoden, Anlagenspiegel, steuerliche und wirtschaftliche Nutzungsdauer getrennt</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2.22</w:t>
            </w:r>
          </w:p>
        </w:tc>
        <w:tc>
          <w:tcPr>
            <w:tcW w:type="dxa" w:w="6576"/>
          </w:tcPr>
          <w:p>
            <w:pPr>
              <w:spacing w:after="0"/>
            </w:pPr>
            <w:r>
              <w:rPr>
                <w:b w:val="0"/>
                <w:sz w:val="19"/>
              </w:rPr>
              <w:t>Rechte in Odoo umsetzen und Rechteprobe je Rolle protokollieren. Geteilte Sammelkonten wie heute im Labor sind in einem Buchhaltungssystem nicht haltbar</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2.23</w:t>
            </w:r>
          </w:p>
        </w:tc>
        <w:tc>
          <w:tcPr>
            <w:tcW w:type="dxa" w:w="6576"/>
          </w:tcPr>
          <w:p>
            <w:pPr>
              <w:spacing w:after="0"/>
            </w:pPr>
            <w:r>
              <w:rPr>
                <w:b w:val="0"/>
                <w:sz w:val="19"/>
              </w:rPr>
              <w:t>Lösch- und Aufbewahrungskonzept, Beitrag zum Verzeichnis der Verarbeitungstätigkeiten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1,5</w:t>
            </w:r>
          </w:p>
        </w:tc>
      </w:tr>
      <w:tr>
        <w:tc>
          <w:tcPr>
            <w:tcW w:type="dxa" w:w="794"/>
          </w:tcPr>
          <w:p>
            <w:pPr>
              <w:spacing w:after="0"/>
            </w:pPr>
            <w:r>
              <w:rPr>
                <w:b w:val="0"/>
                <w:sz w:val="19"/>
              </w:rPr>
              <w:t>2.24</w:t>
            </w:r>
          </w:p>
        </w:tc>
        <w:tc>
          <w:tcPr>
            <w:tcW w:type="dxa" w:w="6576"/>
          </w:tcPr>
          <w:p>
            <w:pPr>
              <w:spacing w:after="0"/>
            </w:pPr>
            <w:r>
              <w:rPr>
                <w:b w:val="0"/>
                <w:sz w:val="19"/>
              </w:rPr>
              <w:t>Dokumentenablage: Entscheidung zwischen OneDrive und Odoo Dokumente, Verknüpfung der Gutachten am Auftrag, revisionssichere Ablage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2.25</w:t>
            </w:r>
          </w:p>
        </w:tc>
        <w:tc>
          <w:tcPr>
            <w:tcW w:type="dxa" w:w="6576"/>
          </w:tcPr>
          <w:p>
            <w:pPr>
              <w:spacing w:after="0"/>
            </w:pPr>
            <w:r>
              <w:rPr>
                <w:b w:val="0"/>
                <w:sz w:val="19"/>
              </w:rPr>
              <w:t>E-Mail-Betrieb: eigene Absenderdomäne, SPF, DKIM und DMARC, Rückläuferbehandlung, Eingangsadressen, Vorlagen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2,5</w:t>
            </w:r>
          </w:p>
        </w:tc>
      </w:tr>
      <w:tr>
        <w:tc>
          <w:tcPr>
            <w:tcW w:type="dxa" w:w="794"/>
          </w:tcPr>
          <w:p>
            <w:pPr>
              <w:spacing w:after="0"/>
            </w:pPr>
            <w:r>
              <w:rPr>
                <w:b w:val="0"/>
                <w:sz w:val="19"/>
              </w:rPr>
              <w:t>2.26</w:t>
            </w:r>
          </w:p>
        </w:tc>
        <w:tc>
          <w:tcPr>
            <w:tcW w:type="dxa" w:w="6576"/>
          </w:tcPr>
          <w:p>
            <w:pPr>
              <w:spacing w:after="0"/>
            </w:pPr>
            <w:r>
              <w:rPr>
                <w:b w:val="0"/>
                <w:sz w:val="19"/>
              </w:rPr>
              <w:t>Test- und Abnahmeumgebung, Umgebungs- und Versionskonzept</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2.27</w:t>
            </w:r>
          </w:p>
        </w:tc>
        <w:tc>
          <w:tcPr>
            <w:tcW w:type="dxa" w:w="6576"/>
          </w:tcPr>
          <w:p>
            <w:pPr>
              <w:spacing w:after="0"/>
            </w:pPr>
            <w:r>
              <w:rPr>
                <w:b/>
                <w:sz w:val="19"/>
              </w:rPr>
              <w:t>Schulungsgeschäft:</w:t>
            </w:r>
            <w:r>
              <w:rPr>
                <w:b w:val="0"/>
                <w:sz w:val="19"/>
              </w:rPr>
              <w:t xml:space="preserve"> Kursarten VDI 6022 und VDI 2047, Seminartermine mit Ort und Kapazität, Mindestteilnehmerzahl, Anmeldung, Bestätigungs- und Erinnerungsmails, Dozenten und Honorare</w:t>
            </w:r>
          </w:p>
        </w:tc>
        <w:tc>
          <w:tcPr>
            <w:tcW w:type="dxa" w:w="1020"/>
          </w:tcPr>
          <w:p>
            <w:pPr>
              <w:spacing w:after="0"/>
            </w:pPr>
            <w:r>
              <w:rPr>
                <w:b w:val="0"/>
                <w:sz w:val="19"/>
              </w:rPr>
              <w:t>Akt.</w:t>
            </w:r>
          </w:p>
        </w:tc>
        <w:tc>
          <w:tcPr>
            <w:tcW w:type="dxa" w:w="510"/>
          </w:tcPr>
          <w:p>
            <w:pPr>
              <w:spacing w:after="0"/>
            </w:pPr>
            <w:r>
              <w:rPr>
                <w:b w:val="0"/>
                <w:sz w:val="19"/>
              </w:rPr>
              <w:t>2</w:t>
            </w:r>
          </w:p>
        </w:tc>
        <w:tc>
          <w:tcPr>
            <w:tcW w:type="dxa" w:w="737"/>
          </w:tcPr>
          <w:p>
            <w:pPr>
              <w:spacing w:after="0"/>
            </w:pPr>
            <w:r>
              <w:rPr>
                <w:b w:val="0"/>
                <w:sz w:val="19"/>
              </w:rPr>
              <w:t>8,0</w:t>
            </w:r>
          </w:p>
        </w:tc>
      </w:tr>
      <w:tr>
        <w:tc>
          <w:tcPr>
            <w:tcW w:type="dxa" w:w="794"/>
            <w:shd w:val="clear" w:fill="DCE6F1"/>
          </w:tcPr>
          <w:p>
            <w:pPr>
              <w:spacing w:after="0"/>
            </w:pPr>
          </w:p>
        </w:tc>
        <w:tc>
          <w:tcPr>
            <w:tcW w:type="dxa" w:w="6576"/>
            <w:shd w:val="clear" w:fill="DCE6F1"/>
          </w:tcPr>
          <w:p>
            <w:pPr>
              <w:spacing w:after="0"/>
            </w:pPr>
            <w:r>
              <w:rPr>
                <w:b/>
                <w:sz w:val="19"/>
              </w:rPr>
              <w:t>Summe 2</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85,5</w:t>
            </w:r>
          </w:p>
        </w:tc>
      </w:tr>
    </w:tbl>
    <w:p/>
    <w:p>
      <w:pPr>
        <w:spacing w:before="280" w:after="0"/>
      </w:pPr>
      <w:r>
        <w:rPr>
          <w:rFonts w:ascii="Calibri" w:hAnsi="Calibri"/>
          <w:b/>
          <w:color w:val="7F7F7F"/>
          <w:sz w:val="15"/>
        </w:rPr>
        <w:t>33,0 PT</w:t>
      </w:r>
    </w:p>
    <w:p>
      <w:pPr>
        <w:spacing w:before="40" w:after="120"/>
        <w:pBdr>
          <w:bottom w:val="single" w:sz="8" w:space="2" w:color="1F4E79"/>
        </w:pBdr>
      </w:pPr>
      <w:r>
        <w:rPr>
          <w:b/>
          <w:color w:val="1F4E79"/>
          <w:sz w:val="26"/>
        </w:rPr>
        <w:t>3 · Kundenspezifische Entwicklung</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3.1</w:t>
            </w:r>
          </w:p>
        </w:tc>
        <w:tc>
          <w:tcPr>
            <w:tcW w:type="dxa" w:w="6576"/>
          </w:tcPr>
          <w:p>
            <w:pPr>
              <w:spacing w:after="0"/>
            </w:pPr>
            <w:r>
              <w:rPr>
                <w:b w:val="0"/>
                <w:sz w:val="19"/>
              </w:rPr>
              <w:t>Belegformulare im biotec-Layout: Angebot, Auftragsbestätigung, Lieferschein, Rechnung, Gutschrift, Mahnung, Bestellung – sieben Belegarten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9,0</w:t>
            </w:r>
          </w:p>
        </w:tc>
      </w:tr>
      <w:tr>
        <w:tc>
          <w:tcPr>
            <w:tcW w:type="dxa" w:w="794"/>
          </w:tcPr>
          <w:p>
            <w:pPr>
              <w:spacing w:after="0"/>
            </w:pPr>
            <w:r>
              <w:rPr>
                <w:b w:val="0"/>
                <w:sz w:val="19"/>
              </w:rPr>
              <w:t>3.2</w:t>
            </w:r>
          </w:p>
        </w:tc>
        <w:tc>
          <w:tcPr>
            <w:tcW w:type="dxa" w:w="6576"/>
          </w:tcPr>
          <w:p>
            <w:pPr>
              <w:spacing w:after="0"/>
            </w:pPr>
            <w:r>
              <w:rPr>
                <w:b/>
                <w:sz w:val="19"/>
              </w:rPr>
              <w:t>Erweiterungsmodul `biotec_rlt`:</w:t>
            </w:r>
            <w:r>
              <w:rPr>
                <w:b w:val="0"/>
                <w:sz w:val="19"/>
              </w:rPr>
              <w:t xml:space="preserve"> VDI-Luftwerte, drei Kennungen je Anlage, Standortfelder, Prüfhistorie – eigenes Modul mit Quellcode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8,0</w:t>
            </w:r>
          </w:p>
        </w:tc>
      </w:tr>
      <w:tr>
        <w:tc>
          <w:tcPr>
            <w:tcW w:type="dxa" w:w="794"/>
          </w:tcPr>
          <w:p>
            <w:pPr>
              <w:spacing w:after="0"/>
            </w:pPr>
            <w:r>
              <w:rPr>
                <w:b w:val="0"/>
                <w:sz w:val="19"/>
              </w:rPr>
              <w:t>3.3</w:t>
            </w:r>
          </w:p>
        </w:tc>
        <w:tc>
          <w:tcPr>
            <w:tcW w:type="dxa" w:w="6576"/>
          </w:tcPr>
          <w:p>
            <w:pPr>
              <w:spacing w:after="0"/>
            </w:pPr>
            <w:r>
              <w:rPr>
                <w:b w:val="0"/>
                <w:sz w:val="19"/>
              </w:rPr>
              <w:t>Arbeitsvorrat und Fälligkeitsübersicht der Wiederholungsprüfungen, Terminbündelung je Werk, Sammelangebot statt Einzelangeboten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6,0</w:t>
            </w:r>
          </w:p>
        </w:tc>
      </w:tr>
      <w:tr>
        <w:tc>
          <w:tcPr>
            <w:tcW w:type="dxa" w:w="794"/>
          </w:tcPr>
          <w:p>
            <w:pPr>
              <w:spacing w:after="0"/>
            </w:pPr>
            <w:r>
              <w:rPr>
                <w:b w:val="0"/>
                <w:sz w:val="19"/>
              </w:rPr>
              <w:t>3.4</w:t>
            </w:r>
          </w:p>
        </w:tc>
        <w:tc>
          <w:tcPr>
            <w:tcW w:type="dxa" w:w="6576"/>
          </w:tcPr>
          <w:p>
            <w:pPr>
              <w:spacing w:after="0"/>
            </w:pPr>
            <w:r>
              <w:rPr>
                <w:b w:val="0"/>
                <w:sz w:val="19"/>
              </w:rPr>
              <w:t>Rückmeldekanal „Gutachten fertiggestellt“ aus dem Altsystem nach Odoo als Auslöser der Rechnungsfreigabe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3.5</w:t>
            </w:r>
          </w:p>
        </w:tc>
        <w:tc>
          <w:tcPr>
            <w:tcW w:type="dxa" w:w="6576"/>
          </w:tcPr>
          <w:p>
            <w:pPr>
              <w:spacing w:after="0"/>
            </w:pPr>
            <w:r>
              <w:rPr>
                <w:b w:val="0"/>
                <w:sz w:val="19"/>
              </w:rPr>
              <w:t>Auswertungen und Kennzahlen: Fälligkeiten, Auslastung Labor, Umsatz je Bereich und Standort, offene Posten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3.6</w:t>
            </w:r>
          </w:p>
        </w:tc>
        <w:tc>
          <w:tcPr>
            <w:tcW w:type="dxa" w:w="6576"/>
          </w:tcPr>
          <w:p>
            <w:pPr>
              <w:spacing w:after="0"/>
            </w:pPr>
            <w:r>
              <w:rPr>
                <w:b w:val="0"/>
                <w:sz w:val="19"/>
              </w:rPr>
              <w:t>Teilnahmebescheinigung und Zertifikatsvorlage mit Nummer, Gültigkeit und Sammeldruck</w:t>
            </w:r>
          </w:p>
        </w:tc>
        <w:tc>
          <w:tcPr>
            <w:tcW w:type="dxa" w:w="1020"/>
          </w:tcPr>
          <w:p>
            <w:pPr>
              <w:spacing w:after="0"/>
            </w:pPr>
            <w:r>
              <w:rPr>
                <w:b w:val="0"/>
                <w:sz w:val="19"/>
              </w:rPr>
              <w:t>Akt.</w:t>
            </w:r>
          </w:p>
        </w:tc>
        <w:tc>
          <w:tcPr>
            <w:tcW w:type="dxa" w:w="510"/>
          </w:tcPr>
          <w:p>
            <w:pPr>
              <w:spacing w:after="0"/>
            </w:pPr>
            <w:r>
              <w:rPr>
                <w:b w:val="0"/>
                <w:sz w:val="19"/>
              </w:rPr>
              <w:t>2</w:t>
            </w:r>
          </w:p>
        </w:tc>
        <w:tc>
          <w:tcPr>
            <w:tcW w:type="dxa" w:w="737"/>
          </w:tcPr>
          <w:p>
            <w:pPr>
              <w:spacing w:after="0"/>
            </w:pPr>
            <w:r>
              <w:rPr>
                <w:b w:val="0"/>
                <w:sz w:val="19"/>
              </w:rPr>
              <w:t>3,0</w:t>
            </w:r>
          </w:p>
        </w:tc>
      </w:tr>
      <w:tr>
        <w:tc>
          <w:tcPr>
            <w:tcW w:type="dxa" w:w="794"/>
            <w:shd w:val="clear" w:fill="DCE6F1"/>
          </w:tcPr>
          <w:p>
            <w:pPr>
              <w:spacing w:after="0"/>
            </w:pPr>
          </w:p>
        </w:tc>
        <w:tc>
          <w:tcPr>
            <w:tcW w:type="dxa" w:w="6576"/>
            <w:shd w:val="clear" w:fill="DCE6F1"/>
          </w:tcPr>
          <w:p>
            <w:pPr>
              <w:spacing w:after="0"/>
            </w:pPr>
            <w:r>
              <w:rPr>
                <w:b/>
                <w:sz w:val="19"/>
              </w:rPr>
              <w:t>Summe 3</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33,0</w:t>
            </w:r>
          </w:p>
        </w:tc>
      </w:tr>
    </w:tbl>
    <w:p/>
    <w:p>
      <w:pPr>
        <w:spacing w:before="280" w:after="0"/>
      </w:pPr>
      <w:r>
        <w:rPr>
          <w:rFonts w:ascii="Calibri" w:hAnsi="Calibri"/>
          <w:b/>
          <w:color w:val="7F7F7F"/>
          <w:sz w:val="15"/>
        </w:rPr>
        <w:t>20,0 PT</w:t>
      </w:r>
    </w:p>
    <w:p>
      <w:pPr>
        <w:spacing w:before="40" w:after="120"/>
        <w:pBdr>
          <w:bottom w:val="single" w:sz="8" w:space="2" w:color="1F4E79"/>
        </w:pBdr>
      </w:pPr>
      <w:r>
        <w:rPr>
          <w:b/>
          <w:color w:val="1F4E79"/>
          <w:sz w:val="26"/>
        </w:rPr>
        <w:t>4 · Schnittstellen</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4.1</w:t>
            </w:r>
          </w:p>
        </w:tc>
        <w:tc>
          <w:tcPr>
            <w:tcW w:type="dxa" w:w="6576"/>
          </w:tcPr>
          <w:p>
            <w:pPr>
              <w:spacing w:after="0"/>
            </w:pPr>
            <w:r>
              <w:rPr>
                <w:b/>
                <w:sz w:val="19"/>
              </w:rPr>
              <w:t>Stammdatenbrücke Odoo zum Gutachten-Altsystem:</w:t>
            </w:r>
            <w:r>
              <w:rPr>
                <w:b w:val="0"/>
                <w:sz w:val="19"/>
              </w:rPr>
              <w:t xml:space="preserve"> Analyse der Feldbedeutung, Anbindung, Zeichenkodierung, Erstabgleich gegen eine Kopie, Dienstbetrieb mit Protokoll, Neuanlagen samt Nummernvergabe, Anpassung der Odoo-Oberfläche, gemeinsamer Einstieg, Abnahme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17,0</w:t>
            </w:r>
          </w:p>
        </w:tc>
      </w:tr>
      <w:tr>
        <w:tc>
          <w:tcPr>
            <w:tcW w:type="dxa" w:w="794"/>
          </w:tcPr>
          <w:p>
            <w:pPr>
              <w:spacing w:after="0"/>
            </w:pPr>
            <w:r>
              <w:rPr>
                <w:b w:val="0"/>
                <w:sz w:val="19"/>
              </w:rPr>
              <w:t>4.2</w:t>
            </w:r>
          </w:p>
        </w:tc>
        <w:tc>
          <w:tcPr>
            <w:tcW w:type="dxa" w:w="6576"/>
          </w:tcPr>
          <w:p>
            <w:pPr>
              <w:spacing w:after="0"/>
            </w:pPr>
            <w:r>
              <w:rPr>
                <w:b w:val="0"/>
                <w:sz w:val="19"/>
              </w:rPr>
              <w:t>DATEV-Übergabe: Formatabstimmung, Testdatei, Abnahme mit dem Steuerberater</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shd w:val="clear" w:fill="DCE6F1"/>
          </w:tcPr>
          <w:p>
            <w:pPr>
              <w:spacing w:after="0"/>
            </w:pPr>
          </w:p>
        </w:tc>
        <w:tc>
          <w:tcPr>
            <w:tcW w:type="dxa" w:w="6576"/>
            <w:shd w:val="clear" w:fill="DCE6F1"/>
          </w:tcPr>
          <w:p>
            <w:pPr>
              <w:spacing w:after="0"/>
            </w:pPr>
            <w:r>
              <w:rPr>
                <w:b/>
                <w:sz w:val="19"/>
              </w:rPr>
              <w:t>Summe 4</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20,0</w:t>
            </w:r>
          </w:p>
        </w:tc>
      </w:tr>
    </w:tbl>
    <w:p/>
    <w:p>
      <w:pPr>
        <w:spacing w:before="280" w:after="0"/>
      </w:pPr>
      <w:r>
        <w:rPr>
          <w:rFonts w:ascii="Calibri" w:hAnsi="Calibri"/>
          <w:b/>
          <w:color w:val="7F7F7F"/>
          <w:sz w:val="15"/>
        </w:rPr>
        <w:t>34,5 PT</w:t>
      </w:r>
    </w:p>
    <w:p>
      <w:pPr>
        <w:spacing w:before="40" w:after="120"/>
        <w:pBdr>
          <w:bottom w:val="single" w:sz="8" w:space="2" w:color="1F4E79"/>
        </w:pBdr>
      </w:pPr>
      <w:r>
        <w:rPr>
          <w:b/>
          <w:color w:val="1F4E79"/>
          <w:sz w:val="26"/>
        </w:rPr>
        <w:t>5 · Datenmigration</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5.1</w:t>
            </w:r>
          </w:p>
        </w:tc>
        <w:tc>
          <w:tcPr>
            <w:tcW w:type="dxa" w:w="6576"/>
          </w:tcPr>
          <w:p>
            <w:pPr>
              <w:spacing w:after="0"/>
            </w:pPr>
            <w:r>
              <w:rPr>
                <w:b w:val="0"/>
                <w:sz w:val="19"/>
              </w:rPr>
              <w:t>Kunden, Ansprechpartner, Werke und Gebäude – technische Übernahme und Neuaufbau der Struktur</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5,0</w:t>
            </w:r>
          </w:p>
        </w:tc>
      </w:tr>
      <w:tr>
        <w:tc>
          <w:tcPr>
            <w:tcW w:type="dxa" w:w="794"/>
          </w:tcPr>
          <w:p>
            <w:pPr>
              <w:spacing w:after="0"/>
            </w:pPr>
            <w:r>
              <w:rPr>
                <w:b w:val="0"/>
                <w:sz w:val="19"/>
              </w:rPr>
              <w:t>5.2</w:t>
            </w:r>
          </w:p>
        </w:tc>
        <w:tc>
          <w:tcPr>
            <w:tcW w:type="dxa" w:w="6576"/>
          </w:tcPr>
          <w:p>
            <w:pPr>
              <w:spacing w:after="0"/>
            </w:pPr>
            <w:r>
              <w:rPr>
                <w:b w:val="0"/>
                <w:sz w:val="19"/>
              </w:rPr>
              <w:t>Anlagenstamm mit 938 RLT-Anlagen – technische Übernahme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5,0</w:t>
            </w:r>
          </w:p>
        </w:tc>
      </w:tr>
      <w:tr>
        <w:tc>
          <w:tcPr>
            <w:tcW w:type="dxa" w:w="794"/>
          </w:tcPr>
          <w:p>
            <w:pPr>
              <w:spacing w:after="0"/>
            </w:pPr>
            <w:r>
              <w:rPr>
                <w:b w:val="0"/>
                <w:sz w:val="19"/>
              </w:rPr>
              <w:t>5.3</w:t>
            </w:r>
          </w:p>
        </w:tc>
        <w:tc>
          <w:tcPr>
            <w:tcW w:type="dxa" w:w="6576"/>
          </w:tcPr>
          <w:p>
            <w:pPr>
              <w:spacing w:after="0"/>
            </w:pPr>
            <w:r>
              <w:rPr>
                <w:b w:val="0"/>
                <w:sz w:val="19"/>
              </w:rPr>
              <w:t>Lieferanten und Fremdlabore – Neuaufbau aus den Eingangsrechnungen der letzten zwölf Monate</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5.4</w:t>
            </w:r>
          </w:p>
        </w:tc>
        <w:tc>
          <w:tcPr>
            <w:tcW w:type="dxa" w:w="6576"/>
          </w:tcPr>
          <w:p>
            <w:pPr>
              <w:spacing w:after="0"/>
            </w:pPr>
            <w:r>
              <w:rPr>
                <w:b w:val="0"/>
                <w:sz w:val="19"/>
              </w:rPr>
              <w:t>Leistungen, Artikel, Verbrauchsmaterial und Kurskatalog</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5.5</w:t>
            </w:r>
          </w:p>
        </w:tc>
        <w:tc>
          <w:tcPr>
            <w:tcW w:type="dxa" w:w="6576"/>
          </w:tcPr>
          <w:p>
            <w:pPr>
              <w:spacing w:after="0"/>
            </w:pPr>
            <w:r>
              <w:rPr>
                <w:b w:val="0"/>
                <w:sz w:val="19"/>
              </w:rPr>
              <w:t>Kontenrahmen, offene Posten, Saldenvortrag zum Stichtag</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5.6</w:t>
            </w:r>
          </w:p>
        </w:tc>
        <w:tc>
          <w:tcPr>
            <w:tcW w:type="dxa" w:w="6576"/>
          </w:tcPr>
          <w:p>
            <w:pPr>
              <w:spacing w:after="0"/>
            </w:pPr>
            <w:r>
              <w:rPr>
                <w:b w:val="0"/>
                <w:sz w:val="19"/>
              </w:rPr>
              <w:t>Einbuchung der Stichtagsinventur – gezählt wird von biotec</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1,5</w:t>
            </w:r>
          </w:p>
        </w:tc>
      </w:tr>
      <w:tr>
        <w:tc>
          <w:tcPr>
            <w:tcW w:type="dxa" w:w="794"/>
          </w:tcPr>
          <w:p>
            <w:pPr>
              <w:spacing w:after="0"/>
            </w:pPr>
            <w:r>
              <w:rPr>
                <w:b w:val="0"/>
                <w:sz w:val="19"/>
              </w:rPr>
              <w:t>5.7</w:t>
            </w:r>
          </w:p>
        </w:tc>
        <w:tc>
          <w:tcPr>
            <w:tcW w:type="dxa" w:w="6576"/>
          </w:tcPr>
          <w:p>
            <w:pPr>
              <w:spacing w:after="0"/>
            </w:pPr>
            <w:r>
              <w:rPr>
                <w:b w:val="0"/>
                <w:sz w:val="19"/>
              </w:rPr>
              <w:t>Importmethodik mit externen Kennungen, Probeläufe, Abstimmung der Summen mit der Buchhaltung</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5.8</w:t>
            </w:r>
          </w:p>
        </w:tc>
        <w:tc>
          <w:tcPr>
            <w:tcW w:type="dxa" w:w="6576"/>
          </w:tcPr>
          <w:p>
            <w:pPr>
              <w:spacing w:after="0"/>
            </w:pPr>
            <w:r>
              <w:rPr>
                <w:b/>
                <w:sz w:val="19"/>
              </w:rPr>
              <w:t>Letztes Prüfdatum je Anlage ermitteln und einpflegen</w:t>
            </w:r>
            <w:r>
              <w:rPr>
                <w:b w:val="0"/>
                <w:sz w:val="19"/>
              </w:rPr>
              <w:t xml:space="preserve"> – aus den versionierten Prüflisten und dem Gutachtenarchiv. Ohne dieses Datum erzeugt die Turnussteuerung am ersten Tag keine Fälligkeiten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5.9</w:t>
            </w:r>
          </w:p>
        </w:tc>
        <w:tc>
          <w:tcPr>
            <w:tcW w:type="dxa" w:w="6576"/>
          </w:tcPr>
          <w:p>
            <w:pPr>
              <w:spacing w:after="0"/>
            </w:pPr>
            <w:r>
              <w:rPr>
                <w:b w:val="0"/>
                <w:sz w:val="19"/>
              </w:rPr>
              <w:t>Inhaltliche Datenbereinigung: Kundenliste, 68 Herstellerschreibweisen, 27 Wartungsfirmen, Testdatensätze, Zahlenformate. Entfällt ganz oder teilweise, wenn biotec die Bereinigung nach unserer Vorlage selbst übernimmt – siehe M12</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8,0</w:t>
            </w:r>
          </w:p>
        </w:tc>
      </w:tr>
      <w:tr>
        <w:tc>
          <w:tcPr>
            <w:tcW w:type="dxa" w:w="794"/>
            <w:shd w:val="clear" w:fill="DCE6F1"/>
          </w:tcPr>
          <w:p>
            <w:pPr>
              <w:spacing w:after="0"/>
            </w:pPr>
          </w:p>
        </w:tc>
        <w:tc>
          <w:tcPr>
            <w:tcW w:type="dxa" w:w="6576"/>
            <w:shd w:val="clear" w:fill="DCE6F1"/>
          </w:tcPr>
          <w:p>
            <w:pPr>
              <w:spacing w:after="0"/>
            </w:pPr>
            <w:r>
              <w:rPr>
                <w:b/>
                <w:sz w:val="19"/>
              </w:rPr>
              <w:t>Summe 5</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34,5</w:t>
            </w:r>
          </w:p>
        </w:tc>
      </w:tr>
    </w:tbl>
    <w:p/>
    <w:p>
      <w:pPr>
        <w:spacing w:before="280" w:after="0"/>
      </w:pPr>
      <w:r>
        <w:rPr>
          <w:rFonts w:ascii="Calibri" w:hAnsi="Calibri"/>
          <w:b/>
          <w:color w:val="7F7F7F"/>
          <w:sz w:val="15"/>
        </w:rPr>
        <w:t>32,0 PT</w:t>
      </w:r>
    </w:p>
    <w:p>
      <w:pPr>
        <w:spacing w:before="40" w:after="120"/>
        <w:pBdr>
          <w:bottom w:val="single" w:sz="8" w:space="2" w:color="1F4E79"/>
        </w:pBdr>
      </w:pPr>
      <w:r>
        <w:rPr>
          <w:b/>
          <w:color w:val="1F4E79"/>
          <w:sz w:val="26"/>
        </w:rPr>
        <w:t>6 · Integration und Test</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6.1</w:t>
            </w:r>
          </w:p>
        </w:tc>
        <w:tc>
          <w:tcPr>
            <w:tcW w:type="dxa" w:w="6576"/>
          </w:tcPr>
          <w:p>
            <w:pPr>
              <w:spacing w:after="0"/>
            </w:pPr>
            <w:r>
              <w:rPr>
                <w:b w:val="0"/>
                <w:sz w:val="19"/>
              </w:rPr>
              <w:t>Funktionstests je Modul, rund 60 Testfälle mit dokumentiertem Ergebnis</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12,0</w:t>
            </w:r>
          </w:p>
        </w:tc>
      </w:tr>
      <w:tr>
        <w:tc>
          <w:tcPr>
            <w:tcW w:type="dxa" w:w="794"/>
          </w:tcPr>
          <w:p>
            <w:pPr>
              <w:spacing w:after="0"/>
            </w:pPr>
            <w:r>
              <w:rPr>
                <w:b w:val="0"/>
                <w:sz w:val="19"/>
              </w:rPr>
              <w:t>6.2</w:t>
            </w:r>
          </w:p>
        </w:tc>
        <w:tc>
          <w:tcPr>
            <w:tcW w:type="dxa" w:w="6576"/>
          </w:tcPr>
          <w:p>
            <w:pPr>
              <w:spacing w:after="0"/>
            </w:pPr>
            <w:r>
              <w:rPr>
                <w:b w:val="0"/>
                <w:sz w:val="19"/>
              </w:rPr>
              <w:t>Durchgängige Prozesstests: Auftrag bis Rechnung, Kurs von der Anmeldung bis zur Bescheinigung, Einkauf bis Lieferantenrechnung</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6,0</w:t>
            </w:r>
          </w:p>
        </w:tc>
      </w:tr>
      <w:tr>
        <w:tc>
          <w:tcPr>
            <w:tcW w:type="dxa" w:w="794"/>
          </w:tcPr>
          <w:p>
            <w:pPr>
              <w:spacing w:after="0"/>
            </w:pPr>
            <w:r>
              <w:rPr>
                <w:b w:val="0"/>
                <w:sz w:val="19"/>
              </w:rPr>
              <w:t>6.3</w:t>
            </w:r>
          </w:p>
        </w:tc>
        <w:tc>
          <w:tcPr>
            <w:tcW w:type="dxa" w:w="6576"/>
          </w:tcPr>
          <w:p>
            <w:pPr>
              <w:spacing w:after="0"/>
            </w:pPr>
            <w:r>
              <w:rPr>
                <w:b w:val="0"/>
                <w:sz w:val="19"/>
              </w:rPr>
              <w:t>Betriebssimulation über einen Monat mit dem Fachbereich, mit echten Fällen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8,0</w:t>
            </w:r>
          </w:p>
        </w:tc>
      </w:tr>
      <w:tr>
        <w:tc>
          <w:tcPr>
            <w:tcW w:type="dxa" w:w="794"/>
          </w:tcPr>
          <w:p>
            <w:pPr>
              <w:spacing w:after="0"/>
            </w:pPr>
            <w:r>
              <w:rPr>
                <w:b w:val="0"/>
                <w:sz w:val="19"/>
              </w:rPr>
              <w:t>6.4</w:t>
            </w:r>
          </w:p>
        </w:tc>
        <w:tc>
          <w:tcPr>
            <w:tcW w:type="dxa" w:w="6576"/>
          </w:tcPr>
          <w:p>
            <w:pPr>
              <w:spacing w:after="0"/>
            </w:pPr>
            <w:r>
              <w:rPr>
                <w:b w:val="0"/>
                <w:sz w:val="19"/>
              </w:rPr>
              <w:t>Fehlerbehebung und Abnahmeprotokolle je Arbeitspaket</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6,0</w:t>
            </w:r>
          </w:p>
        </w:tc>
      </w:tr>
      <w:tr>
        <w:tc>
          <w:tcPr>
            <w:tcW w:type="dxa" w:w="794"/>
            <w:shd w:val="clear" w:fill="DCE6F1"/>
          </w:tcPr>
          <w:p>
            <w:pPr>
              <w:spacing w:after="0"/>
            </w:pPr>
          </w:p>
        </w:tc>
        <w:tc>
          <w:tcPr>
            <w:tcW w:type="dxa" w:w="6576"/>
            <w:shd w:val="clear" w:fill="DCE6F1"/>
          </w:tcPr>
          <w:p>
            <w:pPr>
              <w:spacing w:after="0"/>
            </w:pPr>
            <w:r>
              <w:rPr>
                <w:b/>
                <w:sz w:val="19"/>
              </w:rPr>
              <w:t>Summe 6</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32,0</w:t>
            </w:r>
          </w:p>
        </w:tc>
      </w:tr>
    </w:tbl>
    <w:p/>
    <w:p>
      <w:pPr>
        <w:spacing w:before="280" w:after="0"/>
      </w:pPr>
      <w:r>
        <w:rPr>
          <w:rFonts w:ascii="Calibri" w:hAnsi="Calibri"/>
          <w:b/>
          <w:color w:val="7F7F7F"/>
          <w:sz w:val="15"/>
        </w:rPr>
        <w:t>18,5 PT</w:t>
      </w:r>
    </w:p>
    <w:p>
      <w:pPr>
        <w:spacing w:before="40" w:after="120"/>
        <w:pBdr>
          <w:bottom w:val="single" w:sz="8" w:space="2" w:color="1F4E79"/>
        </w:pBdr>
      </w:pPr>
      <w:r>
        <w:rPr>
          <w:b/>
          <w:color w:val="1F4E79"/>
          <w:sz w:val="26"/>
        </w:rPr>
        <w:t>7 · Schulung und Befähigung</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7.1</w:t>
            </w:r>
          </w:p>
        </w:tc>
        <w:tc>
          <w:tcPr>
            <w:tcW w:type="dxa" w:w="6576"/>
          </w:tcPr>
          <w:p>
            <w:pPr>
              <w:spacing w:after="0"/>
            </w:pPr>
            <w:r>
              <w:rPr>
                <w:b w:val="0"/>
                <w:sz w:val="19"/>
              </w:rPr>
              <w:t>Anwenderleitfäden für sechs Rollen: Labor, Probennehmer, Verwaltung, Buchhaltung, Schulungsorganisation, Geschäftsführung</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6,0</w:t>
            </w:r>
          </w:p>
        </w:tc>
      </w:tr>
      <w:tr>
        <w:tc>
          <w:tcPr>
            <w:tcW w:type="dxa" w:w="794"/>
          </w:tcPr>
          <w:p>
            <w:pPr>
              <w:spacing w:after="0"/>
            </w:pPr>
            <w:r>
              <w:rPr>
                <w:b w:val="0"/>
                <w:sz w:val="19"/>
              </w:rPr>
              <w:t>7.2</w:t>
            </w:r>
          </w:p>
        </w:tc>
        <w:tc>
          <w:tcPr>
            <w:tcW w:type="dxa" w:w="6576"/>
          </w:tcPr>
          <w:p>
            <w:pPr>
              <w:spacing w:after="0"/>
            </w:pPr>
            <w:r>
              <w:rPr>
                <w:b w:val="0"/>
                <w:sz w:val="19"/>
              </w:rPr>
              <w:t>Vorbereitung: Übungsmandant, Übungsdaten, Ablaufplan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7.3</w:t>
            </w:r>
          </w:p>
        </w:tc>
        <w:tc>
          <w:tcPr>
            <w:tcW w:type="dxa" w:w="6576"/>
          </w:tcPr>
          <w:p>
            <w:pPr>
              <w:spacing w:after="0"/>
            </w:pPr>
            <w:r>
              <w:rPr>
                <w:b/>
                <w:sz w:val="19"/>
              </w:rPr>
              <w:t>Vor-Ort-Schulung in Gütersloh, drei Tage:</w:t>
            </w:r>
            <w:r>
              <w:rPr>
                <w:b w:val="0"/>
                <w:sz w:val="19"/>
              </w:rPr>
              <w:t xml:space="preserve"> zwei Tage für die vier Kernnutzer, ein Tag für die weiteren Rollen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7.4</w:t>
            </w:r>
          </w:p>
        </w:tc>
        <w:tc>
          <w:tcPr>
            <w:tcW w:type="dxa" w:w="6576"/>
          </w:tcPr>
          <w:p>
            <w:pPr>
              <w:spacing w:after="0"/>
            </w:pPr>
            <w:r>
              <w:rPr>
                <w:b w:val="0"/>
                <w:sz w:val="19"/>
              </w:rPr>
              <w:t>Zusatzblock für Labor und Probennehmer</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7.5</w:t>
            </w:r>
          </w:p>
        </w:tc>
        <w:tc>
          <w:tcPr>
            <w:tcW w:type="dxa" w:w="6576"/>
          </w:tcPr>
          <w:p>
            <w:pPr>
              <w:spacing w:after="0"/>
            </w:pPr>
            <w:r>
              <w:rPr>
                <w:b w:val="0"/>
                <w:sz w:val="19"/>
              </w:rPr>
              <w:t>Einweisung der Standorte München und Mittweida aus der Ferne</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1,5</w:t>
            </w:r>
          </w:p>
        </w:tc>
      </w:tr>
      <w:tr>
        <w:tc>
          <w:tcPr>
            <w:tcW w:type="dxa" w:w="794"/>
          </w:tcPr>
          <w:p>
            <w:pPr>
              <w:spacing w:after="0"/>
            </w:pPr>
            <w:r>
              <w:rPr>
                <w:b w:val="0"/>
                <w:sz w:val="19"/>
              </w:rPr>
              <w:t>7.6</w:t>
            </w:r>
          </w:p>
        </w:tc>
        <w:tc>
          <w:tcPr>
            <w:tcW w:type="dxa" w:w="6576"/>
          </w:tcPr>
          <w:p>
            <w:pPr>
              <w:spacing w:after="0"/>
            </w:pPr>
            <w:r>
              <w:rPr>
                <w:b w:val="0"/>
                <w:sz w:val="19"/>
              </w:rPr>
              <w:t>An- und Abreise Leonding – Gütersloh</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7.7</w:t>
            </w:r>
          </w:p>
        </w:tc>
        <w:tc>
          <w:tcPr>
            <w:tcW w:type="dxa" w:w="6576"/>
          </w:tcPr>
          <w:p>
            <w:pPr>
              <w:spacing w:after="0"/>
            </w:pPr>
            <w:r>
              <w:rPr>
                <w:b w:val="0"/>
                <w:sz w:val="19"/>
              </w:rPr>
              <w:t>Nachschulung vier Wochen nach dem Start, aus der Ferne</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shd w:val="clear" w:fill="DCE6F1"/>
          </w:tcPr>
          <w:p>
            <w:pPr>
              <w:spacing w:after="0"/>
            </w:pPr>
          </w:p>
        </w:tc>
        <w:tc>
          <w:tcPr>
            <w:tcW w:type="dxa" w:w="6576"/>
            <w:shd w:val="clear" w:fill="DCE6F1"/>
          </w:tcPr>
          <w:p>
            <w:pPr>
              <w:spacing w:after="0"/>
            </w:pPr>
            <w:r>
              <w:rPr>
                <w:b/>
                <w:sz w:val="19"/>
              </w:rPr>
              <w:t>Summe 7</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18,5</w:t>
            </w:r>
          </w:p>
        </w:tc>
      </w:tr>
    </w:tbl>
    <w:p/>
    <w:p>
      <w:pPr>
        <w:spacing w:before="280" w:after="0"/>
      </w:pPr>
      <w:r>
        <w:rPr>
          <w:rFonts w:ascii="Calibri" w:hAnsi="Calibri"/>
          <w:b/>
          <w:color w:val="7F7F7F"/>
          <w:sz w:val="15"/>
        </w:rPr>
        <w:t>23,0 PT</w:t>
      </w:r>
    </w:p>
    <w:p>
      <w:pPr>
        <w:spacing w:before="40" w:after="120"/>
        <w:pBdr>
          <w:bottom w:val="single" w:sz="8" w:space="2" w:color="1F4E79"/>
        </w:pBdr>
      </w:pPr>
      <w:r>
        <w:rPr>
          <w:b/>
          <w:color w:val="1F4E79"/>
          <w:sz w:val="26"/>
        </w:rPr>
        <w:t>8 · Umstellung und Betreuung</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794"/>
            <w:shd w:val="clear" w:fill="1F4E79"/>
          </w:tcPr>
          <w:p>
            <w:pPr>
              <w:spacing w:after="0"/>
            </w:pPr>
            <w:r>
              <w:rPr>
                <w:b/>
                <w:color w:val="FFFFFF"/>
                <w:sz w:val="19"/>
              </w:rPr>
              <w:t>Nr.</w:t>
            </w:r>
          </w:p>
        </w:tc>
        <w:tc>
          <w:tcPr>
            <w:tcW w:type="dxa" w:w="6576"/>
            <w:shd w:val="clear" w:fill="1F4E79"/>
          </w:tcPr>
          <w:p>
            <w:pPr>
              <w:spacing w:after="0"/>
            </w:pPr>
            <w:r>
              <w:rPr>
                <w:b/>
                <w:color w:val="FFFFFF"/>
                <w:sz w:val="19"/>
              </w:rPr>
              <w:t>Leistung</w:t>
            </w:r>
          </w:p>
        </w:tc>
        <w:tc>
          <w:tcPr>
            <w:tcW w:type="dxa" w:w="1020"/>
            <w:shd w:val="clear" w:fill="1F4E79"/>
          </w:tcPr>
          <w:p>
            <w:pPr>
              <w:spacing w:after="0"/>
            </w:pPr>
            <w:r>
              <w:rPr>
                <w:b/>
                <w:color w:val="FFFFFF"/>
                <w:sz w:val="19"/>
              </w:rPr>
              <w:t>Einordn.</w:t>
            </w:r>
          </w:p>
        </w:tc>
        <w:tc>
          <w:tcPr>
            <w:tcW w:type="dxa" w:w="510"/>
            <w:shd w:val="clear" w:fill="1F4E79"/>
          </w:tcPr>
          <w:p>
            <w:pPr>
              <w:spacing w:after="0"/>
            </w:pPr>
            <w:r>
              <w:rPr>
                <w:b/>
                <w:color w:val="FFFFFF"/>
                <w:sz w:val="19"/>
              </w:rPr>
              <w:t>Ph.</w:t>
            </w:r>
          </w:p>
        </w:tc>
        <w:tc>
          <w:tcPr>
            <w:tcW w:type="dxa" w:w="737"/>
            <w:shd w:val="clear" w:fill="1F4E79"/>
          </w:tcPr>
          <w:p>
            <w:pPr>
              <w:spacing w:after="0"/>
            </w:pPr>
            <w:r>
              <w:rPr>
                <w:b/>
                <w:color w:val="FFFFFF"/>
                <w:sz w:val="19"/>
              </w:rPr>
              <w:t>PT</w:t>
            </w:r>
          </w:p>
        </w:tc>
      </w:tr>
      <w:tr>
        <w:tc>
          <w:tcPr>
            <w:tcW w:type="dxa" w:w="794"/>
          </w:tcPr>
          <w:p>
            <w:pPr>
              <w:spacing w:after="0"/>
            </w:pPr>
            <w:r>
              <w:rPr>
                <w:b w:val="0"/>
                <w:sz w:val="19"/>
              </w:rPr>
              <w:t>8.1</w:t>
            </w:r>
          </w:p>
        </w:tc>
        <w:tc>
          <w:tcPr>
            <w:tcW w:type="dxa" w:w="6576"/>
          </w:tcPr>
          <w:p>
            <w:pPr>
              <w:spacing w:after="0"/>
            </w:pPr>
            <w:r>
              <w:rPr>
                <w:b w:val="0"/>
                <w:sz w:val="19"/>
              </w:rPr>
              <w:t>Umstellungsplan, Begleitung der Stichtagsinventur, abschließende Datenübernahme</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4,0</w:t>
            </w:r>
          </w:p>
        </w:tc>
      </w:tr>
      <w:tr>
        <w:tc>
          <w:tcPr>
            <w:tcW w:type="dxa" w:w="794"/>
          </w:tcPr>
          <w:p>
            <w:pPr>
              <w:spacing w:after="0"/>
            </w:pPr>
            <w:r>
              <w:rPr>
                <w:b w:val="0"/>
                <w:sz w:val="19"/>
              </w:rPr>
              <w:t>8.2</w:t>
            </w:r>
          </w:p>
        </w:tc>
        <w:tc>
          <w:tcPr>
            <w:tcW w:type="dxa" w:w="6576"/>
          </w:tcPr>
          <w:p>
            <w:pPr>
              <w:spacing w:after="0"/>
            </w:pPr>
            <w:r>
              <w:rPr>
                <w:b w:val="0"/>
                <w:sz w:val="19"/>
              </w:rPr>
              <w:t>Begleitung am Umstellungstag und an den beiden Folgetagen</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tcPr>
          <w:p>
            <w:pPr>
              <w:spacing w:after="0"/>
            </w:pPr>
            <w:r>
              <w:rPr>
                <w:b w:val="0"/>
                <w:sz w:val="19"/>
              </w:rPr>
              <w:t>8.3</w:t>
            </w:r>
          </w:p>
        </w:tc>
        <w:tc>
          <w:tcPr>
            <w:tcW w:type="dxa" w:w="6576"/>
          </w:tcPr>
          <w:p>
            <w:pPr>
              <w:spacing w:after="0"/>
            </w:pPr>
            <w:r>
              <w:rPr>
                <w:b w:val="0"/>
                <w:sz w:val="19"/>
              </w:rPr>
              <w:t>Enge Betreuung über vier Wochen nach dem Start</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9,0</w:t>
            </w:r>
          </w:p>
        </w:tc>
      </w:tr>
      <w:tr>
        <w:tc>
          <w:tcPr>
            <w:tcW w:type="dxa" w:w="794"/>
          </w:tcPr>
          <w:p>
            <w:pPr>
              <w:spacing w:after="0"/>
            </w:pPr>
            <w:r>
              <w:rPr>
                <w:b w:val="0"/>
                <w:sz w:val="19"/>
              </w:rPr>
              <w:t>8.4</w:t>
            </w:r>
          </w:p>
        </w:tc>
        <w:tc>
          <w:tcPr>
            <w:tcW w:type="dxa" w:w="6576"/>
          </w:tcPr>
          <w:p>
            <w:pPr>
              <w:spacing w:after="0"/>
            </w:pPr>
            <w:r>
              <w:rPr>
                <w:b w:val="0"/>
                <w:sz w:val="19"/>
              </w:rPr>
              <w:t>Begleitung des ersten Monatsabschlusses in Odoo</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8.5</w:t>
            </w:r>
          </w:p>
        </w:tc>
        <w:tc>
          <w:tcPr>
            <w:tcW w:type="dxa" w:w="6576"/>
          </w:tcPr>
          <w:p>
            <w:pPr>
              <w:spacing w:after="0"/>
            </w:pPr>
            <w:r>
              <w:rPr>
                <w:b w:val="0"/>
                <w:sz w:val="19"/>
              </w:rPr>
              <w:t>GoBD-Verfahrensdokumentation und Migrationsdokumentation</w:t>
            </w:r>
          </w:p>
        </w:tc>
        <w:tc>
          <w:tcPr>
            <w:tcW w:type="dxa" w:w="1020"/>
          </w:tcPr>
          <w:p>
            <w:pPr>
              <w:spacing w:after="0"/>
            </w:pPr>
            <w:r>
              <w:rPr>
                <w:b w:val="0"/>
                <w:sz w:val="19"/>
              </w:rPr>
              <w:t>Akt.</w:t>
            </w:r>
          </w:p>
        </w:tc>
        <w:tc>
          <w:tcPr>
            <w:tcW w:type="dxa" w:w="510"/>
          </w:tcPr>
          <w:p>
            <w:pPr>
              <w:spacing w:after="0"/>
            </w:pPr>
            <w:r>
              <w:rPr>
                <w:b w:val="0"/>
                <w:sz w:val="19"/>
              </w:rPr>
              <w:t>1</w:t>
            </w:r>
          </w:p>
        </w:tc>
        <w:tc>
          <w:tcPr>
            <w:tcW w:type="dxa" w:w="737"/>
          </w:tcPr>
          <w:p>
            <w:pPr>
              <w:spacing w:after="0"/>
            </w:pPr>
            <w:r>
              <w:rPr>
                <w:b w:val="0"/>
                <w:sz w:val="19"/>
              </w:rPr>
              <w:t>3,0</w:t>
            </w:r>
          </w:p>
        </w:tc>
      </w:tr>
      <w:tr>
        <w:tc>
          <w:tcPr>
            <w:tcW w:type="dxa" w:w="794"/>
          </w:tcPr>
          <w:p>
            <w:pPr>
              <w:spacing w:after="0"/>
            </w:pPr>
            <w:r>
              <w:rPr>
                <w:b w:val="0"/>
                <w:sz w:val="19"/>
              </w:rPr>
              <w:t>8.6</w:t>
            </w:r>
          </w:p>
        </w:tc>
        <w:tc>
          <w:tcPr>
            <w:tcW w:type="dxa" w:w="6576"/>
          </w:tcPr>
          <w:p>
            <w:pPr>
              <w:spacing w:after="0"/>
            </w:pPr>
            <w:r>
              <w:rPr>
                <w:b w:val="0"/>
                <w:sz w:val="19"/>
              </w:rPr>
              <w:t>Betriebshandbuch, Sicherungskonzept und eine getestete Rücksicherung</w:t>
            </w:r>
          </w:p>
        </w:tc>
        <w:tc>
          <w:tcPr>
            <w:tcW w:type="dxa" w:w="1020"/>
          </w:tcPr>
          <w:p>
            <w:pPr>
              <w:spacing w:after="0"/>
            </w:pPr>
            <w:r>
              <w:rPr>
                <w:b w:val="0"/>
                <w:sz w:val="19"/>
              </w:rPr>
              <w:t>Aufw.</w:t>
            </w:r>
          </w:p>
        </w:tc>
        <w:tc>
          <w:tcPr>
            <w:tcW w:type="dxa" w:w="510"/>
          </w:tcPr>
          <w:p>
            <w:pPr>
              <w:spacing w:after="0"/>
            </w:pPr>
            <w:r>
              <w:rPr>
                <w:b w:val="0"/>
                <w:sz w:val="19"/>
              </w:rPr>
              <w:t>1</w:t>
            </w:r>
          </w:p>
        </w:tc>
        <w:tc>
          <w:tcPr>
            <w:tcW w:type="dxa" w:w="737"/>
          </w:tcPr>
          <w:p>
            <w:pPr>
              <w:spacing w:after="0"/>
            </w:pPr>
            <w:r>
              <w:rPr>
                <w:b w:val="0"/>
                <w:sz w:val="19"/>
              </w:rPr>
              <w:t>2,0</w:t>
            </w:r>
          </w:p>
        </w:tc>
      </w:tr>
      <w:tr>
        <w:tc>
          <w:tcPr>
            <w:tcW w:type="dxa" w:w="794"/>
            <w:shd w:val="clear" w:fill="DCE6F1"/>
          </w:tcPr>
          <w:p>
            <w:pPr>
              <w:spacing w:after="0"/>
            </w:pPr>
          </w:p>
        </w:tc>
        <w:tc>
          <w:tcPr>
            <w:tcW w:type="dxa" w:w="6576"/>
            <w:shd w:val="clear" w:fill="DCE6F1"/>
          </w:tcPr>
          <w:p>
            <w:pPr>
              <w:spacing w:after="0"/>
            </w:pPr>
            <w:r>
              <w:rPr>
                <w:b/>
                <w:sz w:val="19"/>
              </w:rPr>
              <w:t>Summe 8</w:t>
            </w:r>
          </w:p>
        </w:tc>
        <w:tc>
          <w:tcPr>
            <w:tcW w:type="dxa" w:w="1020"/>
            <w:shd w:val="clear" w:fill="DCE6F1"/>
          </w:tcPr>
          <w:p>
            <w:pPr>
              <w:spacing w:after="0"/>
            </w:pPr>
          </w:p>
        </w:tc>
        <w:tc>
          <w:tcPr>
            <w:tcW w:type="dxa" w:w="510"/>
            <w:shd w:val="clear" w:fill="DCE6F1"/>
          </w:tcPr>
          <w:p>
            <w:pPr>
              <w:spacing w:after="0"/>
            </w:pPr>
          </w:p>
        </w:tc>
        <w:tc>
          <w:tcPr>
            <w:tcW w:type="dxa" w:w="737"/>
            <w:shd w:val="clear" w:fill="DCE6F1"/>
          </w:tcPr>
          <w:p>
            <w:pPr>
              <w:spacing w:after="0"/>
            </w:pPr>
            <w:r>
              <w:rPr>
                <w:b/>
                <w:sz w:val="19"/>
              </w:rPr>
              <w:t>23,0</w:t>
            </w:r>
          </w:p>
        </w:tc>
      </w:tr>
    </w:tbl>
    <w:p/>
    <w:p>
      <w:r>
        <w:br w:type="page"/>
      </w:r>
    </w:p>
    <w:p>
      <w:pPr>
        <w:spacing w:before="280" w:after="0"/>
      </w:pPr>
      <w:r>
        <w:rPr>
          <w:rFonts w:ascii="Calibri" w:hAnsi="Calibri"/>
          <w:b/>
          <w:color w:val="7F7F7F"/>
          <w:sz w:val="15"/>
        </w:rPr>
        <w:t>VOLLUMFANG</w:t>
      </w:r>
    </w:p>
    <w:p>
      <w:pPr>
        <w:spacing w:before="40" w:after="120"/>
        <w:pBdr>
          <w:bottom w:val="single" w:sz="8" w:space="2" w:color="1F4E79"/>
        </w:pBdr>
      </w:pPr>
      <w:r>
        <w:rPr>
          <w:b/>
          <w:color w:val="1F4E79"/>
          <w:sz w:val="26"/>
        </w:rPr>
        <w:t>Preisübersicht</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4195"/>
            <w:shd w:val="clear" w:fill="1F4E79"/>
          </w:tcPr>
          <w:p>
            <w:pPr>
              <w:spacing w:after="0"/>
            </w:pPr>
            <w:r>
              <w:rPr>
                <w:b/>
                <w:color w:val="FFFFFF"/>
                <w:sz w:val="19"/>
              </w:rPr>
              <w:t>Arbeitspaket</w:t>
            </w:r>
          </w:p>
        </w:tc>
        <w:tc>
          <w:tcPr>
            <w:tcW w:type="dxa" w:w="1247"/>
            <w:shd w:val="clear" w:fill="1F4E79"/>
          </w:tcPr>
          <w:p>
            <w:pPr>
              <w:spacing w:after="0"/>
            </w:pPr>
            <w:r>
              <w:rPr>
                <w:b/>
                <w:color w:val="FFFFFF"/>
                <w:sz w:val="19"/>
              </w:rPr>
              <w:t>Akt. PT</w:t>
            </w:r>
          </w:p>
        </w:tc>
        <w:tc>
          <w:tcPr>
            <w:tcW w:type="dxa" w:w="1361"/>
            <w:shd w:val="clear" w:fill="1F4E79"/>
          </w:tcPr>
          <w:p>
            <w:pPr>
              <w:spacing w:after="0"/>
            </w:pPr>
            <w:r>
              <w:rPr>
                <w:b/>
                <w:color w:val="FFFFFF"/>
                <w:sz w:val="19"/>
              </w:rPr>
              <w:t>Aufw. PT</w:t>
            </w:r>
          </w:p>
        </w:tc>
        <w:tc>
          <w:tcPr>
            <w:tcW w:type="dxa" w:w="1020"/>
            <w:shd w:val="clear" w:fill="1F4E79"/>
          </w:tcPr>
          <w:p>
            <w:pPr>
              <w:spacing w:after="0"/>
            </w:pPr>
            <w:r>
              <w:rPr>
                <w:b/>
                <w:color w:val="FFFFFF"/>
                <w:sz w:val="19"/>
              </w:rPr>
              <w:t>PT</w:t>
            </w:r>
          </w:p>
        </w:tc>
        <w:tc>
          <w:tcPr>
            <w:tcW w:type="dxa" w:w="1814"/>
            <w:shd w:val="clear" w:fill="1F4E79"/>
          </w:tcPr>
          <w:p>
            <w:pPr>
              <w:spacing w:after="0"/>
            </w:pPr>
            <w:r>
              <w:rPr>
                <w:b/>
                <w:color w:val="FFFFFF"/>
                <w:sz w:val="19"/>
              </w:rPr>
              <w:t>Betrag</w:t>
            </w:r>
          </w:p>
        </w:tc>
      </w:tr>
      <w:tr>
        <w:tc>
          <w:tcPr>
            <w:tcW w:type="dxa" w:w="4195"/>
          </w:tcPr>
          <w:p>
            <w:pPr>
              <w:spacing w:after="0"/>
            </w:pPr>
            <w:r>
              <w:rPr>
                <w:b w:val="0"/>
                <w:sz w:val="19"/>
              </w:rPr>
              <w:t>1 · Analyse, Konzeption und Projektleitung</w:t>
            </w:r>
          </w:p>
        </w:tc>
        <w:tc>
          <w:tcPr>
            <w:tcW w:type="dxa" w:w="1247"/>
          </w:tcPr>
          <w:p>
            <w:pPr>
              <w:spacing w:after="0"/>
            </w:pPr>
            <w:r>
              <w:rPr>
                <w:b w:val="0"/>
                <w:sz w:val="19"/>
              </w:rPr>
              <w:t>4,0</w:t>
            </w:r>
          </w:p>
        </w:tc>
        <w:tc>
          <w:tcPr>
            <w:tcW w:type="dxa" w:w="1361"/>
          </w:tcPr>
          <w:p>
            <w:pPr>
              <w:spacing w:after="0"/>
            </w:pPr>
            <w:r>
              <w:rPr>
                <w:b w:val="0"/>
                <w:sz w:val="19"/>
              </w:rPr>
              <w:t>37,0</w:t>
            </w:r>
          </w:p>
        </w:tc>
        <w:tc>
          <w:tcPr>
            <w:tcW w:type="dxa" w:w="1020"/>
          </w:tcPr>
          <w:p>
            <w:pPr>
              <w:spacing w:after="0"/>
            </w:pPr>
            <w:r>
              <w:rPr>
                <w:b w:val="0"/>
                <w:sz w:val="19"/>
              </w:rPr>
              <w:t>41,0</w:t>
            </w:r>
          </w:p>
        </w:tc>
        <w:tc>
          <w:tcPr>
            <w:tcW w:type="dxa" w:w="1814"/>
          </w:tcPr>
          <w:p>
            <w:pPr>
              <w:spacing w:after="0"/>
            </w:pPr>
            <w:r>
              <w:rPr>
                <w:b w:val="0"/>
                <w:sz w:val="19"/>
              </w:rPr>
              <w:t>45.100,00 €</w:t>
            </w:r>
          </w:p>
        </w:tc>
      </w:tr>
      <w:tr>
        <w:tc>
          <w:tcPr>
            <w:tcW w:type="dxa" w:w="4195"/>
          </w:tcPr>
          <w:p>
            <w:pPr>
              <w:spacing w:after="0"/>
            </w:pPr>
            <w:r>
              <w:rPr>
                <w:b w:val="0"/>
                <w:sz w:val="19"/>
              </w:rPr>
              <w:t>2 · Konfiguration der Odoo-Module</w:t>
            </w:r>
          </w:p>
        </w:tc>
        <w:tc>
          <w:tcPr>
            <w:tcW w:type="dxa" w:w="1247"/>
          </w:tcPr>
          <w:p>
            <w:pPr>
              <w:spacing w:after="0"/>
            </w:pPr>
            <w:r>
              <w:rPr>
                <w:b w:val="0"/>
                <w:sz w:val="19"/>
              </w:rPr>
              <w:t>84,0</w:t>
            </w:r>
          </w:p>
        </w:tc>
        <w:tc>
          <w:tcPr>
            <w:tcW w:type="dxa" w:w="1361"/>
          </w:tcPr>
          <w:p>
            <w:pPr>
              <w:spacing w:after="0"/>
            </w:pPr>
            <w:r>
              <w:rPr>
                <w:b w:val="0"/>
                <w:sz w:val="19"/>
              </w:rPr>
              <w:t>1,5</w:t>
            </w:r>
          </w:p>
        </w:tc>
        <w:tc>
          <w:tcPr>
            <w:tcW w:type="dxa" w:w="1020"/>
          </w:tcPr>
          <w:p>
            <w:pPr>
              <w:spacing w:after="0"/>
            </w:pPr>
            <w:r>
              <w:rPr>
                <w:b w:val="0"/>
                <w:sz w:val="19"/>
              </w:rPr>
              <w:t>85,5</w:t>
            </w:r>
          </w:p>
        </w:tc>
        <w:tc>
          <w:tcPr>
            <w:tcW w:type="dxa" w:w="1814"/>
          </w:tcPr>
          <w:p>
            <w:pPr>
              <w:spacing w:after="0"/>
            </w:pPr>
            <w:r>
              <w:rPr>
                <w:b w:val="0"/>
                <w:sz w:val="19"/>
              </w:rPr>
              <w:t>94.050,00 €</w:t>
            </w:r>
          </w:p>
        </w:tc>
      </w:tr>
      <w:tr>
        <w:tc>
          <w:tcPr>
            <w:tcW w:type="dxa" w:w="4195"/>
          </w:tcPr>
          <w:p>
            <w:pPr>
              <w:spacing w:after="0"/>
            </w:pPr>
            <w:r>
              <w:rPr>
                <w:b w:val="0"/>
                <w:sz w:val="19"/>
              </w:rPr>
              <w:t>3 · Kundenspezifische Entwicklung</w:t>
            </w:r>
          </w:p>
        </w:tc>
        <w:tc>
          <w:tcPr>
            <w:tcW w:type="dxa" w:w="1247"/>
          </w:tcPr>
          <w:p>
            <w:pPr>
              <w:spacing w:after="0"/>
            </w:pPr>
            <w:r>
              <w:rPr>
                <w:b w:val="0"/>
                <w:sz w:val="19"/>
              </w:rPr>
              <w:t>33,0</w:t>
            </w:r>
          </w:p>
        </w:tc>
        <w:tc>
          <w:tcPr>
            <w:tcW w:type="dxa" w:w="1361"/>
          </w:tcPr>
          <w:p>
            <w:pPr>
              <w:spacing w:after="0"/>
            </w:pPr>
            <w:r>
              <w:rPr>
                <w:b w:val="0"/>
                <w:sz w:val="19"/>
              </w:rPr>
              <w:t>0,0</w:t>
            </w:r>
          </w:p>
        </w:tc>
        <w:tc>
          <w:tcPr>
            <w:tcW w:type="dxa" w:w="1020"/>
          </w:tcPr>
          <w:p>
            <w:pPr>
              <w:spacing w:after="0"/>
            </w:pPr>
            <w:r>
              <w:rPr>
                <w:b w:val="0"/>
                <w:sz w:val="19"/>
              </w:rPr>
              <w:t>33,0</w:t>
            </w:r>
          </w:p>
        </w:tc>
        <w:tc>
          <w:tcPr>
            <w:tcW w:type="dxa" w:w="1814"/>
          </w:tcPr>
          <w:p>
            <w:pPr>
              <w:spacing w:after="0"/>
            </w:pPr>
            <w:r>
              <w:rPr>
                <w:b w:val="0"/>
                <w:sz w:val="19"/>
              </w:rPr>
              <w:t>36.300,00 €</w:t>
            </w:r>
          </w:p>
        </w:tc>
      </w:tr>
      <w:tr>
        <w:tc>
          <w:tcPr>
            <w:tcW w:type="dxa" w:w="4195"/>
          </w:tcPr>
          <w:p>
            <w:pPr>
              <w:spacing w:after="0"/>
            </w:pPr>
            <w:r>
              <w:rPr>
                <w:b w:val="0"/>
                <w:sz w:val="19"/>
              </w:rPr>
              <w:t>4 · Schnittstellen</w:t>
            </w:r>
          </w:p>
        </w:tc>
        <w:tc>
          <w:tcPr>
            <w:tcW w:type="dxa" w:w="1247"/>
          </w:tcPr>
          <w:p>
            <w:pPr>
              <w:spacing w:after="0"/>
            </w:pPr>
            <w:r>
              <w:rPr>
                <w:b w:val="0"/>
                <w:sz w:val="19"/>
              </w:rPr>
              <w:t>20,0</w:t>
            </w:r>
          </w:p>
        </w:tc>
        <w:tc>
          <w:tcPr>
            <w:tcW w:type="dxa" w:w="1361"/>
          </w:tcPr>
          <w:p>
            <w:pPr>
              <w:spacing w:after="0"/>
            </w:pPr>
            <w:r>
              <w:rPr>
                <w:b w:val="0"/>
                <w:sz w:val="19"/>
              </w:rPr>
              <w:t>0,0</w:t>
            </w:r>
          </w:p>
        </w:tc>
        <w:tc>
          <w:tcPr>
            <w:tcW w:type="dxa" w:w="1020"/>
          </w:tcPr>
          <w:p>
            <w:pPr>
              <w:spacing w:after="0"/>
            </w:pPr>
            <w:r>
              <w:rPr>
                <w:b w:val="0"/>
                <w:sz w:val="19"/>
              </w:rPr>
              <w:t>20,0</w:t>
            </w:r>
          </w:p>
        </w:tc>
        <w:tc>
          <w:tcPr>
            <w:tcW w:type="dxa" w:w="1814"/>
          </w:tcPr>
          <w:p>
            <w:pPr>
              <w:spacing w:after="0"/>
            </w:pPr>
            <w:r>
              <w:rPr>
                <w:b w:val="0"/>
                <w:sz w:val="19"/>
              </w:rPr>
              <w:t>22.000,00 €</w:t>
            </w:r>
          </w:p>
        </w:tc>
      </w:tr>
      <w:tr>
        <w:tc>
          <w:tcPr>
            <w:tcW w:type="dxa" w:w="4195"/>
          </w:tcPr>
          <w:p>
            <w:pPr>
              <w:spacing w:after="0"/>
            </w:pPr>
            <w:r>
              <w:rPr>
                <w:b w:val="0"/>
                <w:sz w:val="19"/>
              </w:rPr>
              <w:t>5 · Datenmigration</w:t>
            </w:r>
          </w:p>
        </w:tc>
        <w:tc>
          <w:tcPr>
            <w:tcW w:type="dxa" w:w="1247"/>
          </w:tcPr>
          <w:p>
            <w:pPr>
              <w:spacing w:after="0"/>
            </w:pPr>
            <w:r>
              <w:rPr>
                <w:b w:val="0"/>
                <w:sz w:val="19"/>
              </w:rPr>
              <w:t>26,5</w:t>
            </w:r>
          </w:p>
        </w:tc>
        <w:tc>
          <w:tcPr>
            <w:tcW w:type="dxa" w:w="1361"/>
          </w:tcPr>
          <w:p>
            <w:pPr>
              <w:spacing w:after="0"/>
            </w:pPr>
            <w:r>
              <w:rPr>
                <w:b w:val="0"/>
                <w:sz w:val="19"/>
              </w:rPr>
              <w:t>8,0</w:t>
            </w:r>
          </w:p>
        </w:tc>
        <w:tc>
          <w:tcPr>
            <w:tcW w:type="dxa" w:w="1020"/>
          </w:tcPr>
          <w:p>
            <w:pPr>
              <w:spacing w:after="0"/>
            </w:pPr>
            <w:r>
              <w:rPr>
                <w:b w:val="0"/>
                <w:sz w:val="19"/>
              </w:rPr>
              <w:t>34,5</w:t>
            </w:r>
          </w:p>
        </w:tc>
        <w:tc>
          <w:tcPr>
            <w:tcW w:type="dxa" w:w="1814"/>
          </w:tcPr>
          <w:p>
            <w:pPr>
              <w:spacing w:after="0"/>
            </w:pPr>
            <w:r>
              <w:rPr>
                <w:b w:val="0"/>
                <w:sz w:val="19"/>
              </w:rPr>
              <w:t>37.950,00 €</w:t>
            </w:r>
          </w:p>
        </w:tc>
      </w:tr>
      <w:tr>
        <w:tc>
          <w:tcPr>
            <w:tcW w:type="dxa" w:w="4195"/>
          </w:tcPr>
          <w:p>
            <w:pPr>
              <w:spacing w:after="0"/>
            </w:pPr>
            <w:r>
              <w:rPr>
                <w:b w:val="0"/>
                <w:sz w:val="19"/>
              </w:rPr>
              <w:t>6 · Integration und Test</w:t>
            </w:r>
          </w:p>
        </w:tc>
        <w:tc>
          <w:tcPr>
            <w:tcW w:type="dxa" w:w="1247"/>
          </w:tcPr>
          <w:p>
            <w:pPr>
              <w:spacing w:after="0"/>
            </w:pPr>
            <w:r>
              <w:rPr>
                <w:b w:val="0"/>
                <w:sz w:val="19"/>
              </w:rPr>
              <w:t>24,0</w:t>
            </w:r>
          </w:p>
        </w:tc>
        <w:tc>
          <w:tcPr>
            <w:tcW w:type="dxa" w:w="1361"/>
          </w:tcPr>
          <w:p>
            <w:pPr>
              <w:spacing w:after="0"/>
            </w:pPr>
            <w:r>
              <w:rPr>
                <w:b w:val="0"/>
                <w:sz w:val="19"/>
              </w:rPr>
              <w:t>8,0</w:t>
            </w:r>
          </w:p>
        </w:tc>
        <w:tc>
          <w:tcPr>
            <w:tcW w:type="dxa" w:w="1020"/>
          </w:tcPr>
          <w:p>
            <w:pPr>
              <w:spacing w:after="0"/>
            </w:pPr>
            <w:r>
              <w:rPr>
                <w:b w:val="0"/>
                <w:sz w:val="19"/>
              </w:rPr>
              <w:t>32,0</w:t>
            </w:r>
          </w:p>
        </w:tc>
        <w:tc>
          <w:tcPr>
            <w:tcW w:type="dxa" w:w="1814"/>
          </w:tcPr>
          <w:p>
            <w:pPr>
              <w:spacing w:after="0"/>
            </w:pPr>
            <w:r>
              <w:rPr>
                <w:b w:val="0"/>
                <w:sz w:val="19"/>
              </w:rPr>
              <w:t>35.200,00 €</w:t>
            </w:r>
          </w:p>
        </w:tc>
      </w:tr>
      <w:tr>
        <w:tc>
          <w:tcPr>
            <w:tcW w:type="dxa" w:w="4195"/>
          </w:tcPr>
          <w:p>
            <w:pPr>
              <w:spacing w:after="0"/>
            </w:pPr>
            <w:r>
              <w:rPr>
                <w:b w:val="0"/>
                <w:sz w:val="19"/>
              </w:rPr>
              <w:t>7 · Schulung und Befähigung</w:t>
            </w:r>
          </w:p>
        </w:tc>
        <w:tc>
          <w:tcPr>
            <w:tcW w:type="dxa" w:w="1247"/>
          </w:tcPr>
          <w:p>
            <w:pPr>
              <w:spacing w:after="0"/>
            </w:pPr>
            <w:r>
              <w:rPr>
                <w:b w:val="0"/>
                <w:sz w:val="19"/>
              </w:rPr>
              <w:t>0,0</w:t>
            </w:r>
          </w:p>
        </w:tc>
        <w:tc>
          <w:tcPr>
            <w:tcW w:type="dxa" w:w="1361"/>
          </w:tcPr>
          <w:p>
            <w:pPr>
              <w:spacing w:after="0"/>
            </w:pPr>
            <w:r>
              <w:rPr>
                <w:b w:val="0"/>
                <w:sz w:val="19"/>
              </w:rPr>
              <w:t>18,5</w:t>
            </w:r>
          </w:p>
        </w:tc>
        <w:tc>
          <w:tcPr>
            <w:tcW w:type="dxa" w:w="1020"/>
          </w:tcPr>
          <w:p>
            <w:pPr>
              <w:spacing w:after="0"/>
            </w:pPr>
            <w:r>
              <w:rPr>
                <w:b w:val="0"/>
                <w:sz w:val="19"/>
              </w:rPr>
              <w:t>18,5</w:t>
            </w:r>
          </w:p>
        </w:tc>
        <w:tc>
          <w:tcPr>
            <w:tcW w:type="dxa" w:w="1814"/>
          </w:tcPr>
          <w:p>
            <w:pPr>
              <w:spacing w:after="0"/>
            </w:pPr>
            <w:r>
              <w:rPr>
                <w:b w:val="0"/>
                <w:sz w:val="19"/>
              </w:rPr>
              <w:t>20.350,00 €</w:t>
            </w:r>
          </w:p>
        </w:tc>
      </w:tr>
      <w:tr>
        <w:tc>
          <w:tcPr>
            <w:tcW w:type="dxa" w:w="4195"/>
          </w:tcPr>
          <w:p>
            <w:pPr>
              <w:spacing w:after="0"/>
            </w:pPr>
            <w:r>
              <w:rPr>
                <w:b w:val="0"/>
                <w:sz w:val="19"/>
              </w:rPr>
              <w:t>8 · Umstellung und Betreuung</w:t>
            </w:r>
          </w:p>
        </w:tc>
        <w:tc>
          <w:tcPr>
            <w:tcW w:type="dxa" w:w="1247"/>
          </w:tcPr>
          <w:p>
            <w:pPr>
              <w:spacing w:after="0"/>
            </w:pPr>
            <w:r>
              <w:rPr>
                <w:b w:val="0"/>
                <w:sz w:val="19"/>
              </w:rPr>
              <w:t>3,0</w:t>
            </w:r>
          </w:p>
        </w:tc>
        <w:tc>
          <w:tcPr>
            <w:tcW w:type="dxa" w:w="1361"/>
          </w:tcPr>
          <w:p>
            <w:pPr>
              <w:spacing w:after="0"/>
            </w:pPr>
            <w:r>
              <w:rPr>
                <w:b w:val="0"/>
                <w:sz w:val="19"/>
              </w:rPr>
              <w:t>20,0</w:t>
            </w:r>
          </w:p>
        </w:tc>
        <w:tc>
          <w:tcPr>
            <w:tcW w:type="dxa" w:w="1020"/>
          </w:tcPr>
          <w:p>
            <w:pPr>
              <w:spacing w:after="0"/>
            </w:pPr>
            <w:r>
              <w:rPr>
                <w:b w:val="0"/>
                <w:sz w:val="19"/>
              </w:rPr>
              <w:t>23,0</w:t>
            </w:r>
          </w:p>
        </w:tc>
        <w:tc>
          <w:tcPr>
            <w:tcW w:type="dxa" w:w="1814"/>
          </w:tcPr>
          <w:p>
            <w:pPr>
              <w:spacing w:after="0"/>
            </w:pPr>
            <w:r>
              <w:rPr>
                <w:b w:val="0"/>
                <w:sz w:val="19"/>
              </w:rPr>
              <w:t>25.300,00 €</w:t>
            </w:r>
          </w:p>
        </w:tc>
      </w:tr>
      <w:tr>
        <w:tc>
          <w:tcPr>
            <w:tcW w:type="dxa" w:w="4195"/>
            <w:shd w:val="clear" w:fill="FFF2A8"/>
          </w:tcPr>
          <w:p>
            <w:pPr>
              <w:spacing w:after="0"/>
            </w:pPr>
            <w:r>
              <w:rPr>
                <w:b/>
                <w:sz w:val="19"/>
              </w:rPr>
              <w:t>Gesamt</w:t>
            </w:r>
          </w:p>
        </w:tc>
        <w:tc>
          <w:tcPr>
            <w:tcW w:type="dxa" w:w="1247"/>
            <w:shd w:val="clear" w:fill="FFF2A8"/>
          </w:tcPr>
          <w:p>
            <w:pPr>
              <w:spacing w:after="0"/>
            </w:pPr>
            <w:r>
              <w:rPr>
                <w:b/>
                <w:sz w:val="19"/>
              </w:rPr>
              <w:t>194,5</w:t>
            </w:r>
          </w:p>
        </w:tc>
        <w:tc>
          <w:tcPr>
            <w:tcW w:type="dxa" w:w="1361"/>
            <w:shd w:val="clear" w:fill="FFF2A8"/>
          </w:tcPr>
          <w:p>
            <w:pPr>
              <w:spacing w:after="0"/>
            </w:pPr>
            <w:r>
              <w:rPr>
                <w:b/>
                <w:sz w:val="19"/>
              </w:rPr>
              <w:t>93,0</w:t>
            </w:r>
          </w:p>
        </w:tc>
        <w:tc>
          <w:tcPr>
            <w:tcW w:type="dxa" w:w="1020"/>
            <w:shd w:val="clear" w:fill="FFF2A8"/>
          </w:tcPr>
          <w:p>
            <w:pPr>
              <w:spacing w:after="0"/>
            </w:pPr>
            <w:r>
              <w:rPr>
                <w:b/>
                <w:sz w:val="19"/>
              </w:rPr>
              <w:t>287,5</w:t>
            </w:r>
          </w:p>
        </w:tc>
        <w:tc>
          <w:tcPr>
            <w:tcW w:type="dxa" w:w="1814"/>
            <w:shd w:val="clear" w:fill="FFF2A8"/>
          </w:tcPr>
          <w:p>
            <w:pPr>
              <w:spacing w:after="0"/>
            </w:pPr>
            <w:r>
              <w:rPr>
                <w:b/>
                <w:sz w:val="19"/>
              </w:rPr>
              <w:t>316.250,00 €</w:t>
            </w:r>
          </w:p>
        </w:tc>
      </w:tr>
    </w:tbl>
    <w:p>
      <w:pPr>
        <w:spacing w:after="200"/>
      </w:pPr>
      <w:r>
        <w:rPr>
          <w:b w:val="0"/>
          <w:i/>
          <w:sz w:val="18"/>
        </w:rPr>
        <w:t>Stundensatz 137,50 €, Personentag zu 8 Stunden entspricht 1.100,00 €. Alle Beträge netto zuzüglich Umsatzsteuer. Der Satz liegt im Marktband deutscher Odoo-Partner.</w:t>
      </w:r>
    </w:p>
    <w:p>
      <w:pPr>
        <w:spacing w:after="240"/>
      </w:pPr>
      <w:r>
        <w:rPr>
          <w:b/>
          <w:i w:val="0"/>
          <w:sz w:val="20"/>
        </w:rPr>
        <w:t>Aktivierungsbezogen 194,5 PT (213.950,00 €), Aufwand 93,0 PT (102.300,00 €).</w:t>
      </w:r>
    </w:p>
    <w:p>
      <w:pPr>
        <w:spacing w:before="280" w:after="0"/>
      </w:pPr>
      <w:r>
        <w:rPr>
          <w:rFonts w:ascii="Calibri" w:hAnsi="Calibri"/>
          <w:b/>
          <w:color w:val="7F7F7F"/>
          <w:sz w:val="15"/>
        </w:rPr>
        <w:t>UNSER VORSCHLAG</w:t>
      </w:r>
    </w:p>
    <w:p>
      <w:pPr>
        <w:spacing w:before="40" w:after="120"/>
        <w:pBdr>
          <w:bottom w:val="single" w:sz="8" w:space="2" w:color="1F4E79"/>
        </w:pBdr>
      </w:pPr>
      <w:r>
        <w:rPr>
          <w:b/>
          <w:color w:val="1F4E79"/>
          <w:sz w:val="26"/>
        </w:rPr>
        <w:t>Empfohlener Zuschnitt in Phasen</w:t>
      </w:r>
    </w:p>
    <w:p>
      <w:pPr>
        <w:spacing w:after="120"/>
      </w:pPr>
      <w:r>
        <w:rPr>
          <w:b w:val="0"/>
          <w:i w:val="0"/>
          <w:sz w:val="20"/>
        </w:rPr>
        <w:t>Der Vollumfang lässt sich in einem Zug beauftragen. Wir empfehlen die Aufteilung in Phasen: Jede Phase erreicht eigene Betriebsbereitschaft, was die bilanzielle Beurteilung erleichtert, und die Belastung der Fachbereiche verteilt sich.</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1474"/>
            <w:shd w:val="clear" w:fill="1F4E79"/>
          </w:tcPr>
          <w:p>
            <w:pPr>
              <w:spacing w:after="0"/>
            </w:pPr>
            <w:r>
              <w:rPr>
                <w:b/>
                <w:color w:val="FFFFFF"/>
                <w:sz w:val="19"/>
              </w:rPr>
              <w:t>Phase</w:t>
            </w:r>
          </w:p>
        </w:tc>
        <w:tc>
          <w:tcPr>
            <w:tcW w:type="dxa" w:w="4876"/>
            <w:shd w:val="clear" w:fill="1F4E79"/>
          </w:tcPr>
          <w:p>
            <w:pPr>
              <w:spacing w:after="0"/>
            </w:pPr>
            <w:r>
              <w:rPr>
                <w:b/>
                <w:color w:val="FFFFFF"/>
                <w:sz w:val="19"/>
              </w:rPr>
              <w:t>Inhalt</w:t>
            </w:r>
          </w:p>
        </w:tc>
        <w:tc>
          <w:tcPr>
            <w:tcW w:type="dxa" w:w="1134"/>
            <w:shd w:val="clear" w:fill="1F4E79"/>
          </w:tcPr>
          <w:p>
            <w:pPr>
              <w:spacing w:after="0"/>
            </w:pPr>
            <w:r>
              <w:rPr>
                <w:b/>
                <w:color w:val="FFFFFF"/>
                <w:sz w:val="19"/>
              </w:rPr>
              <w:t>PT</w:t>
            </w:r>
          </w:p>
        </w:tc>
        <w:tc>
          <w:tcPr>
            <w:tcW w:type="dxa" w:w="2154"/>
            <w:shd w:val="clear" w:fill="1F4E79"/>
          </w:tcPr>
          <w:p>
            <w:pPr>
              <w:spacing w:after="0"/>
            </w:pPr>
            <w:r>
              <w:rPr>
                <w:b/>
                <w:color w:val="FFFFFF"/>
                <w:sz w:val="19"/>
              </w:rPr>
              <w:t>Betrag</w:t>
            </w:r>
          </w:p>
        </w:tc>
      </w:tr>
      <w:tr>
        <w:tc>
          <w:tcPr>
            <w:tcW w:type="dxa" w:w="1474"/>
          </w:tcPr>
          <w:p>
            <w:pPr>
              <w:spacing w:after="0"/>
            </w:pPr>
            <w:r>
              <w:rPr>
                <w:b/>
                <w:sz w:val="19"/>
              </w:rPr>
              <w:t>Phase 1</w:t>
            </w:r>
          </w:p>
        </w:tc>
        <w:tc>
          <w:tcPr>
            <w:tcW w:type="dxa" w:w="4876"/>
          </w:tcPr>
          <w:p>
            <w:pPr>
              <w:spacing w:after="0"/>
            </w:pPr>
            <w:r>
              <w:rPr>
                <w:b w:val="0"/>
                <w:sz w:val="19"/>
              </w:rPr>
              <w:t>Kaufmännischer Kern, Anlagenstamm mit Turnussteuerung, Stammdatenbrücke, Migration, Test, Schulung, Umstellung</w:t>
            </w:r>
          </w:p>
        </w:tc>
        <w:tc>
          <w:tcPr>
            <w:tcW w:type="dxa" w:w="1134"/>
          </w:tcPr>
          <w:p>
            <w:pPr>
              <w:spacing w:after="0"/>
            </w:pPr>
            <w:r>
              <w:rPr>
                <w:b w:val="0"/>
                <w:sz w:val="19"/>
              </w:rPr>
              <w:t>276,5</w:t>
            </w:r>
          </w:p>
        </w:tc>
        <w:tc>
          <w:tcPr>
            <w:tcW w:type="dxa" w:w="2154"/>
          </w:tcPr>
          <w:p>
            <w:pPr>
              <w:spacing w:after="0"/>
            </w:pPr>
            <w:r>
              <w:rPr>
                <w:b w:val="0"/>
                <w:sz w:val="19"/>
              </w:rPr>
              <w:t>304.150,00 €</w:t>
            </w:r>
          </w:p>
        </w:tc>
      </w:tr>
      <w:tr>
        <w:tc>
          <w:tcPr>
            <w:tcW w:type="dxa" w:w="1474"/>
          </w:tcPr>
          <w:p>
            <w:pPr>
              <w:spacing w:after="0"/>
            </w:pPr>
            <w:r>
              <w:rPr>
                <w:b/>
                <w:sz w:val="19"/>
              </w:rPr>
              <w:t>Phase 2</w:t>
            </w:r>
          </w:p>
        </w:tc>
        <w:tc>
          <w:tcPr>
            <w:tcW w:type="dxa" w:w="4876"/>
          </w:tcPr>
          <w:p>
            <w:pPr>
              <w:spacing w:after="0"/>
            </w:pPr>
            <w:r>
              <w:rPr>
                <w:b w:val="0"/>
                <w:sz w:val="19"/>
              </w:rPr>
              <w:t>Schulungsgeschäft vollständig – nach der Hochsaison, mit eigener Betriebsbereitschaft</w:t>
            </w:r>
          </w:p>
        </w:tc>
        <w:tc>
          <w:tcPr>
            <w:tcW w:type="dxa" w:w="1134"/>
          </w:tcPr>
          <w:p>
            <w:pPr>
              <w:spacing w:after="0"/>
            </w:pPr>
            <w:r>
              <w:rPr>
                <w:b w:val="0"/>
                <w:sz w:val="19"/>
              </w:rPr>
              <w:t>11,0</w:t>
            </w:r>
          </w:p>
        </w:tc>
        <w:tc>
          <w:tcPr>
            <w:tcW w:type="dxa" w:w="2154"/>
          </w:tcPr>
          <w:p>
            <w:pPr>
              <w:spacing w:after="0"/>
            </w:pPr>
            <w:r>
              <w:rPr>
                <w:b w:val="0"/>
                <w:sz w:val="19"/>
              </w:rPr>
              <w:t>12.100,00 €</w:t>
            </w:r>
          </w:p>
        </w:tc>
      </w:tr>
      <w:tr>
        <w:tc>
          <w:tcPr>
            <w:tcW w:type="dxa" w:w="1474"/>
          </w:tcPr>
          <w:p>
            <w:pPr>
              <w:spacing w:after="0"/>
            </w:pPr>
            <w:r>
              <w:rPr>
                <w:b/>
                <w:sz w:val="19"/>
              </w:rPr>
              <w:t>Phase 3</w:t>
            </w:r>
          </w:p>
        </w:tc>
        <w:tc>
          <w:tcPr>
            <w:tcW w:type="dxa" w:w="4876"/>
          </w:tcPr>
          <w:p>
            <w:pPr>
              <w:spacing w:after="0"/>
            </w:pPr>
            <w:r>
              <w:rPr>
                <w:b w:val="0"/>
                <w:sz w:val="19"/>
              </w:rPr>
              <w:t>Gruppenthemen: LucaNet, IFRS-Überleitung, POC/WIP – sobald die Vorgaben der Certania-Gruppe vorliegen (Optionen O2, O3, O5)</w:t>
            </w:r>
          </w:p>
        </w:tc>
        <w:tc>
          <w:tcPr>
            <w:tcW w:type="dxa" w:w="1134"/>
          </w:tcPr>
          <w:p>
            <w:pPr>
              <w:spacing w:after="0"/>
            </w:pPr>
            <w:r>
              <w:rPr>
                <w:b w:val="0"/>
                <w:sz w:val="19"/>
              </w:rPr>
              <w:t>nach Bedarf</w:t>
            </w:r>
          </w:p>
        </w:tc>
        <w:tc>
          <w:tcPr>
            <w:tcW w:type="dxa" w:w="2154"/>
          </w:tcPr>
          <w:p>
            <w:pPr>
              <w:spacing w:after="0"/>
            </w:pPr>
            <w:r>
              <w:rPr>
                <w:b w:val="0"/>
                <w:sz w:val="19"/>
              </w:rPr>
              <w:t>siehe Optionen</w:t>
            </w:r>
          </w:p>
        </w:tc>
      </w:tr>
    </w:tbl>
    <w:p>
      <w:pPr>
        <w:spacing w:after="240"/>
      </w:pPr>
      <w:r>
        <w:rPr>
          <w:b w:val="0"/>
          <w:i/>
          <w:sz w:val="18"/>
        </w:rPr>
        <w:t>In Phase 1 ist das Schulungsgeschäft nicht enthalten; es läuft bis dahin weiter wie heute.</w:t>
      </w:r>
    </w:p>
    <w:p>
      <w:pPr>
        <w:spacing w:before="280" w:after="0"/>
      </w:pPr>
      <w:r>
        <w:rPr>
          <w:rFonts w:ascii="Calibri" w:hAnsi="Calibri"/>
          <w:b/>
          <w:color w:val="7F7F7F"/>
          <w:sz w:val="15"/>
        </w:rPr>
        <w:t>AUF ABRUF, NICHT IM VOLLUMFANG ENTHALTEN</w:t>
      </w:r>
    </w:p>
    <w:p>
      <w:pPr>
        <w:spacing w:before="40" w:after="120"/>
        <w:pBdr>
          <w:bottom w:val="single" w:sz="8" w:space="2" w:color="1F4E79"/>
        </w:pBdr>
      </w:pPr>
      <w:r>
        <w:rPr>
          <w:b/>
          <w:color w:val="1F4E79"/>
          <w:sz w:val="26"/>
        </w:rPr>
        <w:t>Optionen</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794"/>
            <w:shd w:val="clear" w:fill="1F4E79"/>
          </w:tcPr>
          <w:p>
            <w:pPr>
              <w:spacing w:after="0"/>
            </w:pPr>
            <w:r>
              <w:rPr>
                <w:b/>
                <w:color w:val="FFFFFF"/>
                <w:sz w:val="19"/>
              </w:rPr>
              <w:t>Nr.</w:t>
            </w:r>
          </w:p>
        </w:tc>
        <w:tc>
          <w:tcPr>
            <w:tcW w:type="dxa" w:w="6009"/>
            <w:shd w:val="clear" w:fill="1F4E79"/>
          </w:tcPr>
          <w:p>
            <w:pPr>
              <w:spacing w:after="0"/>
            </w:pPr>
            <w:r>
              <w:rPr>
                <w:b/>
                <w:color w:val="FFFFFF"/>
                <w:sz w:val="19"/>
              </w:rPr>
              <w:t>Leistung</w:t>
            </w:r>
          </w:p>
        </w:tc>
        <w:tc>
          <w:tcPr>
            <w:tcW w:type="dxa" w:w="1134"/>
            <w:shd w:val="clear" w:fill="1F4E79"/>
          </w:tcPr>
          <w:p>
            <w:pPr>
              <w:spacing w:after="0"/>
            </w:pPr>
            <w:r>
              <w:rPr>
                <w:b/>
                <w:color w:val="FFFFFF"/>
                <w:sz w:val="19"/>
              </w:rPr>
              <w:t>PT</w:t>
            </w:r>
          </w:p>
        </w:tc>
        <w:tc>
          <w:tcPr>
            <w:tcW w:type="dxa" w:w="1701"/>
            <w:shd w:val="clear" w:fill="1F4E79"/>
          </w:tcPr>
          <w:p>
            <w:pPr>
              <w:spacing w:after="0"/>
            </w:pPr>
            <w:r>
              <w:rPr>
                <w:b/>
                <w:color w:val="FFFFFF"/>
                <w:sz w:val="19"/>
              </w:rPr>
              <w:t>Betrag</w:t>
            </w:r>
          </w:p>
        </w:tc>
      </w:tr>
      <w:tr>
        <w:tc>
          <w:tcPr>
            <w:tcW w:type="dxa" w:w="794"/>
          </w:tcPr>
          <w:p>
            <w:pPr>
              <w:spacing w:after="0"/>
            </w:pPr>
            <w:r>
              <w:rPr>
                <w:b w:val="0"/>
                <w:sz w:val="19"/>
              </w:rPr>
              <w:t>O1</w:t>
            </w:r>
          </w:p>
        </w:tc>
        <w:tc>
          <w:tcPr>
            <w:tcW w:type="dxa" w:w="6009"/>
          </w:tcPr>
          <w:p>
            <w:pPr>
              <w:spacing w:after="0"/>
            </w:pPr>
            <w:r>
              <w:rPr>
                <w:b w:val="0"/>
                <w:sz w:val="19"/>
              </w:rPr>
              <w:t>Übernahme des Interessentenbestands mit 10.387 Adressen in das CRM, Dublettenabgleich gegen die Kunden, Prüfung der Rechtsgrundlage nach DSGVO</w:t>
            </w:r>
          </w:p>
        </w:tc>
        <w:tc>
          <w:tcPr>
            <w:tcW w:type="dxa" w:w="1134"/>
          </w:tcPr>
          <w:p>
            <w:pPr>
              <w:spacing w:after="0"/>
            </w:pPr>
            <w:r>
              <w:rPr>
                <w:b w:val="0"/>
                <w:sz w:val="19"/>
              </w:rPr>
              <w:t>6,0</w:t>
            </w:r>
          </w:p>
        </w:tc>
        <w:tc>
          <w:tcPr>
            <w:tcW w:type="dxa" w:w="1701"/>
          </w:tcPr>
          <w:p>
            <w:pPr>
              <w:spacing w:after="0"/>
            </w:pPr>
            <w:r>
              <w:rPr>
                <w:b w:val="0"/>
                <w:sz w:val="19"/>
              </w:rPr>
              <w:t>6.600,00 €</w:t>
            </w:r>
          </w:p>
        </w:tc>
      </w:tr>
      <w:tr>
        <w:tc>
          <w:tcPr>
            <w:tcW w:type="dxa" w:w="794"/>
          </w:tcPr>
          <w:p>
            <w:pPr>
              <w:spacing w:after="0"/>
            </w:pPr>
            <w:r>
              <w:rPr>
                <w:b w:val="0"/>
                <w:sz w:val="19"/>
              </w:rPr>
              <w:t>O2a</w:t>
            </w:r>
          </w:p>
        </w:tc>
        <w:tc>
          <w:tcPr>
            <w:tcW w:type="dxa" w:w="6009"/>
          </w:tcPr>
          <w:p>
            <w:pPr>
              <w:spacing w:after="0"/>
            </w:pPr>
            <w:r>
              <w:rPr>
                <w:b/>
                <w:sz w:val="19"/>
              </w:rPr>
              <w:t>Datenlieferung an LucaNet, wenn ein Lieferformat der Gruppe vorliegt:</w:t>
            </w:r>
            <w:r>
              <w:rPr>
                <w:b w:val="0"/>
                <w:sz w:val="19"/>
              </w:rPr>
              <w:t xml:space="preserve"> Einrichtung, Testlieferung, Abnahme</w:t>
            </w:r>
          </w:p>
        </w:tc>
        <w:tc>
          <w:tcPr>
            <w:tcW w:type="dxa" w:w="1134"/>
          </w:tcPr>
          <w:p>
            <w:pPr>
              <w:spacing w:after="0"/>
            </w:pPr>
            <w:r>
              <w:rPr>
                <w:b w:val="0"/>
                <w:sz w:val="19"/>
              </w:rPr>
              <w:t>8,0</w:t>
            </w:r>
          </w:p>
        </w:tc>
        <w:tc>
          <w:tcPr>
            <w:tcW w:type="dxa" w:w="1701"/>
          </w:tcPr>
          <w:p>
            <w:pPr>
              <w:spacing w:after="0"/>
            </w:pPr>
            <w:r>
              <w:rPr>
                <w:b w:val="0"/>
                <w:sz w:val="19"/>
              </w:rPr>
              <w:t>8.800,00 €</w:t>
            </w:r>
          </w:p>
        </w:tc>
      </w:tr>
      <w:tr>
        <w:tc>
          <w:tcPr>
            <w:tcW w:type="dxa" w:w="794"/>
          </w:tcPr>
          <w:p>
            <w:pPr>
              <w:spacing w:after="0"/>
            </w:pPr>
            <w:r>
              <w:rPr>
                <w:b w:val="0"/>
                <w:sz w:val="19"/>
              </w:rPr>
              <w:t>O2b</w:t>
            </w:r>
          </w:p>
        </w:tc>
        <w:tc>
          <w:tcPr>
            <w:tcW w:type="dxa" w:w="6009"/>
          </w:tcPr>
          <w:p>
            <w:pPr>
              <w:spacing w:after="0"/>
            </w:pPr>
            <w:r>
              <w:rPr>
                <w:b w:val="0"/>
                <w:sz w:val="19"/>
              </w:rPr>
              <w:t xml:space="preserve">Datenlieferung an LucaNet </w:t>
            </w:r>
            <w:r>
              <w:rPr>
                <w:b/>
                <w:sz w:val="19"/>
              </w:rPr>
              <w:t>ohne bestehendes Format:</w:t>
            </w:r>
            <w:r>
              <w:rPr>
                <w:b w:val="0"/>
                <w:sz w:val="19"/>
              </w:rPr>
              <w:t xml:space="preserve"> zusätzlich Kontenmapping SKR04 auf den Gruppenkontenplan, Prüfsummen, Bilanzgleichung, Lieferprotokoll</w:t>
            </w:r>
          </w:p>
        </w:tc>
        <w:tc>
          <w:tcPr>
            <w:tcW w:type="dxa" w:w="1134"/>
          </w:tcPr>
          <w:p>
            <w:pPr>
              <w:spacing w:after="0"/>
            </w:pPr>
            <w:r>
              <w:rPr>
                <w:b w:val="0"/>
                <w:sz w:val="19"/>
              </w:rPr>
              <w:t>14,0</w:t>
            </w:r>
          </w:p>
        </w:tc>
        <w:tc>
          <w:tcPr>
            <w:tcW w:type="dxa" w:w="1701"/>
          </w:tcPr>
          <w:p>
            <w:pPr>
              <w:spacing w:after="0"/>
            </w:pPr>
            <w:r>
              <w:rPr>
                <w:b w:val="0"/>
                <w:sz w:val="19"/>
              </w:rPr>
              <w:t>15.400,00 €</w:t>
            </w:r>
          </w:p>
        </w:tc>
      </w:tr>
      <w:tr>
        <w:tc>
          <w:tcPr>
            <w:tcW w:type="dxa" w:w="794"/>
          </w:tcPr>
          <w:p>
            <w:pPr>
              <w:spacing w:after="0"/>
            </w:pPr>
            <w:r>
              <w:rPr>
                <w:b w:val="0"/>
                <w:sz w:val="19"/>
              </w:rPr>
              <w:t>O3a</w:t>
            </w:r>
          </w:p>
        </w:tc>
        <w:tc>
          <w:tcPr>
            <w:tcW w:type="dxa" w:w="6009"/>
          </w:tcPr>
          <w:p>
            <w:pPr>
              <w:spacing w:after="0"/>
            </w:pPr>
            <w:r>
              <w:rPr>
                <w:b w:val="0"/>
                <w:sz w:val="19"/>
              </w:rPr>
              <w:t>IFRS-Überleitung: Journal, Kontenzuordnung, Auswertungen</w:t>
            </w:r>
          </w:p>
        </w:tc>
        <w:tc>
          <w:tcPr>
            <w:tcW w:type="dxa" w:w="1134"/>
          </w:tcPr>
          <w:p>
            <w:pPr>
              <w:spacing w:after="0"/>
            </w:pPr>
            <w:r>
              <w:rPr>
                <w:b w:val="0"/>
                <w:sz w:val="19"/>
              </w:rPr>
              <w:t>8,0</w:t>
            </w:r>
          </w:p>
        </w:tc>
        <w:tc>
          <w:tcPr>
            <w:tcW w:type="dxa" w:w="1701"/>
          </w:tcPr>
          <w:p>
            <w:pPr>
              <w:spacing w:after="0"/>
            </w:pPr>
            <w:r>
              <w:rPr>
                <w:b w:val="0"/>
                <w:sz w:val="19"/>
              </w:rPr>
              <w:t>8.800,00 €</w:t>
            </w:r>
          </w:p>
        </w:tc>
      </w:tr>
      <w:tr>
        <w:tc>
          <w:tcPr>
            <w:tcW w:type="dxa" w:w="794"/>
          </w:tcPr>
          <w:p>
            <w:pPr>
              <w:spacing w:after="0"/>
            </w:pPr>
            <w:r>
              <w:rPr>
                <w:b w:val="0"/>
                <w:sz w:val="19"/>
              </w:rPr>
              <w:t>O3b</w:t>
            </w:r>
          </w:p>
        </w:tc>
        <w:tc>
          <w:tcPr>
            <w:tcW w:type="dxa" w:w="6009"/>
          </w:tcPr>
          <w:p>
            <w:pPr>
              <w:spacing w:after="0"/>
            </w:pPr>
            <w:r>
              <w:rPr>
                <w:b w:val="0"/>
                <w:sz w:val="19"/>
              </w:rPr>
              <w:t>IFRS 16: Vertragsregister für Miet-, Leasing- und Fahrzeugverträge</w:t>
            </w:r>
          </w:p>
        </w:tc>
        <w:tc>
          <w:tcPr>
            <w:tcW w:type="dxa" w:w="1134"/>
          </w:tcPr>
          <w:p>
            <w:pPr>
              <w:spacing w:after="0"/>
            </w:pPr>
            <w:r>
              <w:rPr>
                <w:b w:val="0"/>
                <w:sz w:val="19"/>
              </w:rPr>
              <w:t>4,0</w:t>
            </w:r>
          </w:p>
        </w:tc>
        <w:tc>
          <w:tcPr>
            <w:tcW w:type="dxa" w:w="1701"/>
          </w:tcPr>
          <w:p>
            <w:pPr>
              <w:spacing w:after="0"/>
            </w:pPr>
            <w:r>
              <w:rPr>
                <w:b w:val="0"/>
                <w:sz w:val="19"/>
              </w:rPr>
              <w:t>4.400,00 €</w:t>
            </w:r>
          </w:p>
        </w:tc>
      </w:tr>
      <w:tr>
        <w:tc>
          <w:tcPr>
            <w:tcW w:type="dxa" w:w="794"/>
          </w:tcPr>
          <w:p>
            <w:pPr>
              <w:spacing w:after="0"/>
            </w:pPr>
            <w:r>
              <w:rPr>
                <w:b w:val="0"/>
                <w:sz w:val="19"/>
              </w:rPr>
              <w:t>O3c</w:t>
            </w:r>
          </w:p>
        </w:tc>
        <w:tc>
          <w:tcPr>
            <w:tcW w:type="dxa" w:w="6009"/>
          </w:tcPr>
          <w:p>
            <w:pPr>
              <w:spacing w:after="0"/>
            </w:pPr>
            <w:r>
              <w:rPr>
                <w:b w:val="0"/>
                <w:sz w:val="19"/>
              </w:rPr>
              <w:t>IAS 38: Erfassung der Entwicklungsprojekte mit zurechenbaren Kosten</w:t>
            </w:r>
          </w:p>
        </w:tc>
        <w:tc>
          <w:tcPr>
            <w:tcW w:type="dxa" w:w="1134"/>
          </w:tcPr>
          <w:p>
            <w:pPr>
              <w:spacing w:after="0"/>
            </w:pPr>
            <w:r>
              <w:rPr>
                <w:b w:val="0"/>
                <w:sz w:val="19"/>
              </w:rPr>
              <w:t>3,0</w:t>
            </w:r>
          </w:p>
        </w:tc>
        <w:tc>
          <w:tcPr>
            <w:tcW w:type="dxa" w:w="1701"/>
          </w:tcPr>
          <w:p>
            <w:pPr>
              <w:spacing w:after="0"/>
            </w:pPr>
            <w:r>
              <w:rPr>
                <w:b w:val="0"/>
                <w:sz w:val="19"/>
              </w:rPr>
              <w:t>3.300,00 €</w:t>
            </w:r>
          </w:p>
        </w:tc>
      </w:tr>
      <w:tr>
        <w:tc>
          <w:tcPr>
            <w:tcW w:type="dxa" w:w="794"/>
          </w:tcPr>
          <w:p>
            <w:pPr>
              <w:spacing w:after="0"/>
            </w:pPr>
            <w:r>
              <w:rPr>
                <w:b w:val="0"/>
                <w:sz w:val="19"/>
              </w:rPr>
              <w:t>O4</w:t>
            </w:r>
          </w:p>
        </w:tc>
        <w:tc>
          <w:tcPr>
            <w:tcW w:type="dxa" w:w="6009"/>
          </w:tcPr>
          <w:p>
            <w:pPr>
              <w:spacing w:after="0"/>
            </w:pPr>
            <w:r>
              <w:rPr>
                <w:b w:val="0"/>
                <w:sz w:val="19"/>
              </w:rPr>
              <w:t>Verknüpfung der vorhandenen Gutachten-PDF aus der OneDrive-Ablage am Anlagensatz, soweit eindeutig zuordenbar. Die LaTeX-Quellen des Altsystems werden nicht neu gesetzt</w:t>
            </w:r>
          </w:p>
        </w:tc>
        <w:tc>
          <w:tcPr>
            <w:tcW w:type="dxa" w:w="1134"/>
          </w:tcPr>
          <w:p>
            <w:pPr>
              <w:spacing w:after="0"/>
            </w:pPr>
            <w:r>
              <w:rPr>
                <w:b w:val="0"/>
                <w:sz w:val="19"/>
              </w:rPr>
              <w:t>6,0</w:t>
            </w:r>
          </w:p>
        </w:tc>
        <w:tc>
          <w:tcPr>
            <w:tcW w:type="dxa" w:w="1701"/>
          </w:tcPr>
          <w:p>
            <w:pPr>
              <w:spacing w:after="0"/>
            </w:pPr>
            <w:r>
              <w:rPr>
                <w:b w:val="0"/>
                <w:sz w:val="19"/>
              </w:rPr>
              <w:t>6.600,00 €</w:t>
            </w:r>
          </w:p>
        </w:tc>
      </w:tr>
      <w:tr>
        <w:tc>
          <w:tcPr>
            <w:tcW w:type="dxa" w:w="794"/>
          </w:tcPr>
          <w:p>
            <w:pPr>
              <w:spacing w:after="0"/>
            </w:pPr>
            <w:r>
              <w:rPr>
                <w:b w:val="0"/>
                <w:sz w:val="19"/>
              </w:rPr>
              <w:t>O5a</w:t>
            </w:r>
          </w:p>
        </w:tc>
        <w:tc>
          <w:tcPr>
            <w:tcW w:type="dxa" w:w="6009"/>
          </w:tcPr>
          <w:p>
            <w:pPr>
              <w:spacing w:after="0"/>
            </w:pPr>
            <w:r>
              <w:rPr>
                <w:b/>
                <w:sz w:val="19"/>
              </w:rPr>
              <w:t>POC/WIP – Buchhaltungsspezifikation</w:t>
            </w:r>
            <w:r>
              <w:rPr>
                <w:b w:val="0"/>
                <w:sz w:val="19"/>
              </w:rPr>
              <w:t xml:space="preserve"> mit Steuerberater und Wirtschaftsprüfer: Methode, Konten, Verlustantizipation, Periodenabgrenzung</w:t>
            </w:r>
          </w:p>
        </w:tc>
        <w:tc>
          <w:tcPr>
            <w:tcW w:type="dxa" w:w="1134"/>
          </w:tcPr>
          <w:p>
            <w:pPr>
              <w:spacing w:after="0"/>
            </w:pPr>
            <w:r>
              <w:rPr>
                <w:b w:val="0"/>
                <w:sz w:val="19"/>
              </w:rPr>
              <w:t>6,0</w:t>
            </w:r>
          </w:p>
        </w:tc>
        <w:tc>
          <w:tcPr>
            <w:tcW w:type="dxa" w:w="1701"/>
          </w:tcPr>
          <w:p>
            <w:pPr>
              <w:spacing w:after="0"/>
            </w:pPr>
            <w:r>
              <w:rPr>
                <w:b w:val="0"/>
                <w:sz w:val="19"/>
              </w:rPr>
              <w:t>6.600,00 €</w:t>
            </w:r>
          </w:p>
        </w:tc>
      </w:tr>
      <w:tr>
        <w:tc>
          <w:tcPr>
            <w:tcW w:type="dxa" w:w="794"/>
          </w:tcPr>
          <w:p>
            <w:pPr>
              <w:spacing w:after="0"/>
            </w:pPr>
            <w:r>
              <w:rPr>
                <w:b w:val="0"/>
                <w:sz w:val="19"/>
              </w:rPr>
              <w:t>O5b</w:t>
            </w:r>
          </w:p>
        </w:tc>
        <w:tc>
          <w:tcPr>
            <w:tcW w:type="dxa" w:w="6009"/>
          </w:tcPr>
          <w:p>
            <w:pPr>
              <w:spacing w:after="0"/>
            </w:pPr>
            <w:r>
              <w:rPr>
                <w:b/>
                <w:sz w:val="19"/>
              </w:rPr>
              <w:t>POC/WIP – Rechenkern:</w:t>
            </w:r>
            <w:r>
              <w:rPr>
                <w:b w:val="0"/>
                <w:sz w:val="19"/>
              </w:rPr>
              <w:t xml:space="preserve"> Odoo-Modul mit Vertrags- und Periodenmodell, externer Rechenlauf mit Entwurfsbuchungen, Wiederholbarkeit, Storno, Bericht</w:t>
            </w:r>
          </w:p>
        </w:tc>
        <w:tc>
          <w:tcPr>
            <w:tcW w:type="dxa" w:w="1134"/>
          </w:tcPr>
          <w:p>
            <w:pPr>
              <w:spacing w:after="0"/>
            </w:pPr>
            <w:r>
              <w:rPr>
                <w:b w:val="0"/>
                <w:sz w:val="19"/>
              </w:rPr>
              <w:t>28,0</w:t>
            </w:r>
          </w:p>
        </w:tc>
        <w:tc>
          <w:tcPr>
            <w:tcW w:type="dxa" w:w="1701"/>
          </w:tcPr>
          <w:p>
            <w:pPr>
              <w:spacing w:after="0"/>
            </w:pPr>
            <w:r>
              <w:rPr>
                <w:b w:val="0"/>
                <w:sz w:val="19"/>
              </w:rPr>
              <w:t>30.800,00 €</w:t>
            </w:r>
          </w:p>
        </w:tc>
      </w:tr>
      <w:tr>
        <w:tc>
          <w:tcPr>
            <w:tcW w:type="dxa" w:w="794"/>
          </w:tcPr>
          <w:p>
            <w:pPr>
              <w:spacing w:after="0"/>
            </w:pPr>
            <w:r>
              <w:rPr>
                <w:b w:val="0"/>
                <w:sz w:val="19"/>
              </w:rPr>
              <w:t>O6</w:t>
            </w:r>
          </w:p>
        </w:tc>
        <w:tc>
          <w:tcPr>
            <w:tcW w:type="dxa" w:w="6009"/>
          </w:tcPr>
          <w:p>
            <w:pPr>
              <w:spacing w:after="0"/>
            </w:pPr>
            <w:r>
              <w:rPr>
                <w:b w:val="0"/>
                <w:sz w:val="19"/>
              </w:rPr>
              <w:t>Online-Anmeldung für Seminare auf der Website mit Anbindung an Odoo</w:t>
            </w:r>
          </w:p>
        </w:tc>
        <w:tc>
          <w:tcPr>
            <w:tcW w:type="dxa" w:w="1134"/>
          </w:tcPr>
          <w:p>
            <w:pPr>
              <w:spacing w:after="0"/>
            </w:pPr>
            <w:r>
              <w:rPr>
                <w:b w:val="0"/>
                <w:sz w:val="19"/>
              </w:rPr>
              <w:t>4,0</w:t>
            </w:r>
          </w:p>
        </w:tc>
        <w:tc>
          <w:tcPr>
            <w:tcW w:type="dxa" w:w="1701"/>
          </w:tcPr>
          <w:p>
            <w:pPr>
              <w:spacing w:after="0"/>
            </w:pPr>
            <w:r>
              <w:rPr>
                <w:b w:val="0"/>
                <w:sz w:val="19"/>
              </w:rPr>
              <w:t>4.400,00 €</w:t>
            </w:r>
          </w:p>
        </w:tc>
      </w:tr>
      <w:tr>
        <w:tc>
          <w:tcPr>
            <w:tcW w:type="dxa" w:w="794"/>
          </w:tcPr>
          <w:p>
            <w:pPr>
              <w:spacing w:after="0"/>
            </w:pPr>
            <w:r>
              <w:rPr>
                <w:b w:val="0"/>
                <w:sz w:val="19"/>
              </w:rPr>
              <w:t>O7</w:t>
            </w:r>
          </w:p>
        </w:tc>
        <w:tc>
          <w:tcPr>
            <w:tcW w:type="dxa" w:w="6009"/>
          </w:tcPr>
          <w:p>
            <w:pPr>
              <w:spacing w:after="0"/>
            </w:pPr>
            <w:r>
              <w:rPr>
                <w:b/>
                <w:sz w:val="19"/>
              </w:rPr>
              <w:t>Umsetzung im Gutachtenprogramm durch CertoClav</w:t>
            </w:r>
            <w:r>
              <w:rPr>
                <w:b w:val="0"/>
                <w:sz w:val="19"/>
              </w:rPr>
              <w:t>, falls Westbomke EDV nicht beauftragt wird. Richtwert, Bezifferung erst nach Sichtung</w:t>
            </w:r>
          </w:p>
        </w:tc>
        <w:tc>
          <w:tcPr>
            <w:tcW w:type="dxa" w:w="1134"/>
          </w:tcPr>
          <w:p>
            <w:pPr>
              <w:spacing w:after="0"/>
            </w:pPr>
            <w:r>
              <w:rPr>
                <w:b w:val="0"/>
                <w:sz w:val="19"/>
              </w:rPr>
              <w:t>15,0</w:t>
            </w:r>
          </w:p>
        </w:tc>
        <w:tc>
          <w:tcPr>
            <w:tcW w:type="dxa" w:w="1701"/>
          </w:tcPr>
          <w:p>
            <w:pPr>
              <w:spacing w:after="0"/>
            </w:pPr>
            <w:r>
              <w:rPr>
                <w:b w:val="0"/>
                <w:sz w:val="19"/>
              </w:rPr>
              <w:t>16.500,00 €</w:t>
            </w:r>
          </w:p>
        </w:tc>
      </w:tr>
      <w:tr>
        <w:tc>
          <w:tcPr>
            <w:tcW w:type="dxa" w:w="794"/>
          </w:tcPr>
          <w:p>
            <w:pPr>
              <w:spacing w:after="0"/>
            </w:pPr>
            <w:r>
              <w:rPr>
                <w:b w:val="0"/>
                <w:sz w:val="19"/>
              </w:rPr>
              <w:t>O8</w:t>
            </w:r>
          </w:p>
        </w:tc>
        <w:tc>
          <w:tcPr>
            <w:tcW w:type="dxa" w:w="6009"/>
          </w:tcPr>
          <w:p>
            <w:pPr>
              <w:spacing w:after="0"/>
            </w:pPr>
            <w:r>
              <w:rPr>
                <w:b w:val="0"/>
                <w:sz w:val="19"/>
              </w:rPr>
              <w:t>Prüfmittelüberwachung und Kalibrierung – Pflicht bei einer Akkreditierung nach DIN EN ISO/IEC 17025</w:t>
            </w:r>
          </w:p>
        </w:tc>
        <w:tc>
          <w:tcPr>
            <w:tcW w:type="dxa" w:w="1134"/>
          </w:tcPr>
          <w:p>
            <w:pPr>
              <w:spacing w:after="0"/>
            </w:pPr>
            <w:r>
              <w:rPr>
                <w:b w:val="0"/>
                <w:sz w:val="19"/>
              </w:rPr>
              <w:t>3,0</w:t>
            </w:r>
          </w:p>
        </w:tc>
        <w:tc>
          <w:tcPr>
            <w:tcW w:type="dxa" w:w="1701"/>
          </w:tcPr>
          <w:p>
            <w:pPr>
              <w:spacing w:after="0"/>
            </w:pPr>
            <w:r>
              <w:rPr>
                <w:b w:val="0"/>
                <w:sz w:val="19"/>
              </w:rPr>
              <w:t>3.300,00 €</w:t>
            </w:r>
          </w:p>
        </w:tc>
      </w:tr>
      <w:tr>
        <w:tc>
          <w:tcPr>
            <w:tcW w:type="dxa" w:w="794"/>
          </w:tcPr>
          <w:p>
            <w:pPr>
              <w:spacing w:after="0"/>
            </w:pPr>
            <w:r>
              <w:rPr>
                <w:b w:val="0"/>
                <w:sz w:val="19"/>
              </w:rPr>
              <w:t>O9</w:t>
            </w:r>
          </w:p>
        </w:tc>
        <w:tc>
          <w:tcPr>
            <w:tcW w:type="dxa" w:w="6009"/>
          </w:tcPr>
          <w:p>
            <w:pPr>
              <w:spacing w:after="0"/>
            </w:pPr>
            <w:r>
              <w:rPr>
                <w:b w:val="0"/>
                <w:sz w:val="19"/>
              </w:rPr>
              <w:t>Einsatz- und Kapazitätsplanung des Prüferteams</w:t>
            </w:r>
          </w:p>
        </w:tc>
        <w:tc>
          <w:tcPr>
            <w:tcW w:type="dxa" w:w="1134"/>
          </w:tcPr>
          <w:p>
            <w:pPr>
              <w:spacing w:after="0"/>
            </w:pPr>
            <w:r>
              <w:rPr>
                <w:b w:val="0"/>
                <w:sz w:val="19"/>
              </w:rPr>
              <w:t>4,0</w:t>
            </w:r>
          </w:p>
        </w:tc>
        <w:tc>
          <w:tcPr>
            <w:tcW w:type="dxa" w:w="1701"/>
          </w:tcPr>
          <w:p>
            <w:pPr>
              <w:spacing w:after="0"/>
            </w:pPr>
            <w:r>
              <w:rPr>
                <w:b w:val="0"/>
                <w:sz w:val="19"/>
              </w:rPr>
              <w:t>4.400,00 €</w:t>
            </w:r>
          </w:p>
        </w:tc>
      </w:tr>
      <w:tr>
        <w:tc>
          <w:tcPr>
            <w:tcW w:type="dxa" w:w="794"/>
          </w:tcPr>
          <w:p>
            <w:pPr>
              <w:spacing w:after="0"/>
            </w:pPr>
            <w:r>
              <w:rPr>
                <w:b w:val="0"/>
                <w:sz w:val="19"/>
              </w:rPr>
              <w:t>O10</w:t>
            </w:r>
          </w:p>
        </w:tc>
        <w:tc>
          <w:tcPr>
            <w:tcW w:type="dxa" w:w="6009"/>
          </w:tcPr>
          <w:p>
            <w:pPr>
              <w:spacing w:after="0"/>
            </w:pPr>
            <w:r>
              <w:rPr>
                <w:b w:val="0"/>
                <w:sz w:val="19"/>
              </w:rPr>
              <w:t>Nachweisregister der Schulungen mit Auffrischungserinnerung an die Teilnehmer</w:t>
            </w:r>
          </w:p>
        </w:tc>
        <w:tc>
          <w:tcPr>
            <w:tcW w:type="dxa" w:w="1134"/>
          </w:tcPr>
          <w:p>
            <w:pPr>
              <w:spacing w:after="0"/>
            </w:pPr>
            <w:r>
              <w:rPr>
                <w:b w:val="0"/>
                <w:sz w:val="19"/>
              </w:rPr>
              <w:t>3,0</w:t>
            </w:r>
          </w:p>
        </w:tc>
        <w:tc>
          <w:tcPr>
            <w:tcW w:type="dxa" w:w="1701"/>
          </w:tcPr>
          <w:p>
            <w:pPr>
              <w:spacing w:after="0"/>
            </w:pPr>
            <w:r>
              <w:rPr>
                <w:b w:val="0"/>
                <w:sz w:val="19"/>
              </w:rPr>
              <w:t>3.300,00 €</w:t>
            </w:r>
          </w:p>
        </w:tc>
      </w:tr>
      <w:tr>
        <w:tc>
          <w:tcPr>
            <w:tcW w:type="dxa" w:w="794"/>
          </w:tcPr>
          <w:p>
            <w:pPr>
              <w:spacing w:after="0"/>
            </w:pPr>
            <w:r>
              <w:rPr>
                <w:b w:val="0"/>
                <w:sz w:val="19"/>
              </w:rPr>
              <w:t>O11</w:t>
            </w:r>
          </w:p>
        </w:tc>
        <w:tc>
          <w:tcPr>
            <w:tcW w:type="dxa" w:w="6009"/>
          </w:tcPr>
          <w:p>
            <w:pPr>
              <w:spacing w:after="0"/>
            </w:pPr>
            <w:r>
              <w:rPr>
                <w:b w:val="0"/>
                <w:sz w:val="19"/>
              </w:rPr>
              <w:t>Chargen und Haltbarkeit für Nährmedien und Gelatinefilter</w:t>
            </w:r>
          </w:p>
        </w:tc>
        <w:tc>
          <w:tcPr>
            <w:tcW w:type="dxa" w:w="1134"/>
          </w:tcPr>
          <w:p>
            <w:pPr>
              <w:spacing w:after="0"/>
            </w:pPr>
            <w:r>
              <w:rPr>
                <w:b w:val="0"/>
                <w:sz w:val="19"/>
              </w:rPr>
              <w:t>2,0</w:t>
            </w:r>
          </w:p>
        </w:tc>
        <w:tc>
          <w:tcPr>
            <w:tcW w:type="dxa" w:w="1701"/>
          </w:tcPr>
          <w:p>
            <w:pPr>
              <w:spacing w:after="0"/>
            </w:pPr>
            <w:r>
              <w:rPr>
                <w:b w:val="0"/>
                <w:sz w:val="19"/>
              </w:rPr>
              <w:t>2.200,00 €</w:t>
            </w:r>
          </w:p>
        </w:tc>
      </w:tr>
      <w:tr>
        <w:tc>
          <w:tcPr>
            <w:tcW w:type="dxa" w:w="794"/>
          </w:tcPr>
          <w:p>
            <w:pPr>
              <w:spacing w:after="0"/>
            </w:pPr>
            <w:r>
              <w:rPr>
                <w:b w:val="0"/>
                <w:sz w:val="19"/>
              </w:rPr>
              <w:t>O12</w:t>
            </w:r>
          </w:p>
        </w:tc>
        <w:tc>
          <w:tcPr>
            <w:tcW w:type="dxa" w:w="6009"/>
          </w:tcPr>
          <w:p>
            <w:pPr>
              <w:spacing w:after="0"/>
            </w:pPr>
            <w:r>
              <w:rPr>
                <w:b w:val="0"/>
                <w:sz w:val="19"/>
              </w:rPr>
              <w:t>Reklamationsbearbeitung</w:t>
            </w:r>
          </w:p>
        </w:tc>
        <w:tc>
          <w:tcPr>
            <w:tcW w:type="dxa" w:w="1134"/>
          </w:tcPr>
          <w:p>
            <w:pPr>
              <w:spacing w:after="0"/>
            </w:pPr>
            <w:r>
              <w:rPr>
                <w:b w:val="0"/>
                <w:sz w:val="19"/>
              </w:rPr>
              <w:t>1,5</w:t>
            </w:r>
          </w:p>
        </w:tc>
        <w:tc>
          <w:tcPr>
            <w:tcW w:type="dxa" w:w="1701"/>
          </w:tcPr>
          <w:p>
            <w:pPr>
              <w:spacing w:after="0"/>
            </w:pPr>
            <w:r>
              <w:rPr>
                <w:b w:val="0"/>
                <w:sz w:val="19"/>
              </w:rPr>
              <w:t>1.650,00 €</w:t>
            </w:r>
          </w:p>
        </w:tc>
      </w:tr>
      <w:tr>
        <w:tc>
          <w:tcPr>
            <w:tcW w:type="dxa" w:w="794"/>
          </w:tcPr>
          <w:p>
            <w:pPr>
              <w:spacing w:after="0"/>
            </w:pPr>
            <w:r>
              <w:rPr>
                <w:b w:val="0"/>
                <w:sz w:val="19"/>
              </w:rPr>
              <w:t>O13</w:t>
            </w:r>
          </w:p>
        </w:tc>
        <w:tc>
          <w:tcPr>
            <w:tcW w:type="dxa" w:w="6009"/>
          </w:tcPr>
          <w:p>
            <w:pPr>
              <w:spacing w:after="0"/>
            </w:pPr>
            <w:r>
              <w:rPr>
                <w:b/>
                <w:sz w:val="19"/>
              </w:rPr>
              <w:t>Anwendungsbetreuung ab dem Ende der Betreuungsphase:</w:t>
            </w:r>
            <w:r>
              <w:rPr>
                <w:b w:val="0"/>
                <w:sz w:val="19"/>
              </w:rPr>
              <w:t xml:space="preserve"> 1,5 PT je Monat, zusätzlich 4 PT je Jahr für die Versionspflege der Eigenmodule und der Brücke</w:t>
            </w:r>
          </w:p>
        </w:tc>
        <w:tc>
          <w:tcPr>
            <w:tcW w:type="dxa" w:w="1134"/>
          </w:tcPr>
          <w:p>
            <w:pPr>
              <w:spacing w:after="0"/>
            </w:pPr>
            <w:r>
              <w:rPr>
                <w:b w:val="0"/>
                <w:sz w:val="19"/>
              </w:rPr>
              <w:t>nach Abruf</w:t>
            </w:r>
          </w:p>
        </w:tc>
        <w:tc>
          <w:tcPr>
            <w:tcW w:type="dxa" w:w="1701"/>
          </w:tcPr>
          <w:p>
            <w:pPr>
              <w:spacing w:after="0"/>
            </w:pPr>
            <w:r>
              <w:rPr>
                <w:b w:val="0"/>
                <w:sz w:val="19"/>
              </w:rPr>
              <w:t>nach Abruf</w:t>
            </w:r>
          </w:p>
        </w:tc>
      </w:tr>
    </w:tbl>
    <w:p>
      <w:pPr>
        <w:spacing w:after="240"/>
      </w:pPr>
      <w:r>
        <w:rPr>
          <w:b w:val="0"/>
          <w:i/>
          <w:sz w:val="18"/>
        </w:rPr>
        <w:t>Optionen werden erst nach schriftlicher Freigabe erbracht. O2a und O2b sind Alternativen; welche gilt, entscheidet die Vorlage eines Lieferformats durch die Gruppe. O7 greift nur, wenn Westbomke EDV die Arbeiten am Gutachtenprogramm nicht übernimmt.</w:t>
      </w:r>
    </w:p>
    <w:p>
      <w:r>
        <w:br w:type="page"/>
      </w:r>
    </w:p>
    <w:p>
      <w:pPr>
        <w:spacing w:before="280" w:after="0"/>
      </w:pPr>
      <w:r>
        <w:rPr>
          <w:rFonts w:ascii="Calibri" w:hAnsi="Calibri"/>
          <w:b/>
          <w:color w:val="7F7F7F"/>
          <w:sz w:val="15"/>
        </w:rPr>
        <w:t>ARBEITSERGEBNISSE</w:t>
      </w:r>
    </w:p>
    <w:p>
      <w:pPr>
        <w:spacing w:before="40" w:after="120"/>
        <w:pBdr>
          <w:bottom w:val="single" w:sz="8" w:space="2" w:color="1F4E79"/>
        </w:pBdr>
      </w:pPr>
      <w:r>
        <w:rPr>
          <w:b/>
          <w:color w:val="1F4E79"/>
          <w:sz w:val="26"/>
        </w:rPr>
        <w:t>Was bei biotec entsteht</w:t>
      </w:r>
    </w:p>
    <w:p>
      <w:pPr>
        <w:spacing w:after="120"/>
      </w:pPr>
      <w:r>
        <w:rPr>
          <w:b w:val="0"/>
          <w:i w:val="0"/>
          <w:sz w:val="20"/>
        </w:rPr>
        <w:t>Aus dem Projekt gehen benannte Arbeitsergebnisse in das Eigentum von biotec über. Sie werden je Arbeitspaket in einem Übergabeverzeichnis dokumentiert (Position 1.8):</w:t>
      </w:r>
    </w:p>
    <w:p>
      <w:pPr>
        <w:spacing w:before="20" w:after="20"/>
        <w:ind w:left="397"/>
      </w:pPr>
      <w:r>
        <w:t xml:space="preserve">– </w:t>
      </w:r>
      <w:r>
        <w:rPr>
          <w:b/>
        </w:rPr>
        <w:t>Erweiterungsmodul `biotec_rlt`</w:t>
      </w:r>
      <w:r>
        <w:rPr>
          <w:b w:val="0"/>
        </w:rPr>
        <w:t xml:space="preserve"> – RLT-Anlagenstamm mit VDI-Feldern, Kennungen, Standortstruktur und Prüfhistorie, als Quellcode</w:t>
      </w:r>
    </w:p>
    <w:p>
      <w:pPr>
        <w:spacing w:before="20" w:after="20"/>
        <w:ind w:left="397"/>
      </w:pPr>
      <w:r>
        <w:t xml:space="preserve">– </w:t>
      </w:r>
      <w:r>
        <w:rPr>
          <w:b/>
        </w:rPr>
        <w:t>Stammdatenbrücke</w:t>
      </w:r>
      <w:r>
        <w:rPr>
          <w:b w:val="0"/>
        </w:rPr>
        <w:t xml:space="preserve"> zum Gutachtenprogramm, als Quellcode samt Betriebsanleitung</w:t>
      </w:r>
    </w:p>
    <w:p>
      <w:pPr>
        <w:spacing w:before="20" w:after="20"/>
        <w:ind w:left="397"/>
      </w:pPr>
      <w:r>
        <w:t xml:space="preserve">– </w:t>
      </w:r>
      <w:r>
        <w:rPr>
          <w:b/>
        </w:rPr>
        <w:t>Belegvorlagen</w:t>
      </w:r>
      <w:r>
        <w:rPr>
          <w:b w:val="0"/>
        </w:rPr>
        <w:t xml:space="preserve"> für sieben Belegarten im biotec-Layout</w:t>
      </w:r>
    </w:p>
    <w:p>
      <w:pPr>
        <w:spacing w:before="20" w:after="20"/>
        <w:ind w:left="397"/>
      </w:pPr>
      <w:r>
        <w:t xml:space="preserve">– </w:t>
      </w:r>
      <w:r>
        <w:rPr>
          <w:b/>
        </w:rPr>
        <w:t>Migrationsprogramme</w:t>
      </w:r>
      <w:r>
        <w:rPr>
          <w:b w:val="0"/>
        </w:rPr>
        <w:t xml:space="preserve"> mit Feldzuordnung und Wiederholbarkeit</w:t>
      </w:r>
    </w:p>
    <w:p>
      <w:pPr>
        <w:spacing w:before="20" w:after="20"/>
        <w:ind w:left="397"/>
      </w:pPr>
      <w:r>
        <w:t xml:space="preserve">– </w:t>
      </w:r>
      <w:r>
        <w:rPr>
          <w:b/>
        </w:rPr>
        <w:t>Auswertungen und Kennzahlenberichte</w:t>
      </w:r>
    </w:p>
    <w:p>
      <w:pPr>
        <w:spacing w:before="20" w:after="20"/>
        <w:ind w:left="397"/>
      </w:pPr>
      <w:r>
        <w:t xml:space="preserve">– </w:t>
      </w:r>
      <w:r>
        <w:rPr>
          <w:b/>
        </w:rPr>
        <w:t>Dokumentation:</w:t>
      </w:r>
      <w:r>
        <w:rPr>
          <w:b w:val="0"/>
        </w:rPr>
        <w:t xml:space="preserve"> Detailspezifikation, Testprotokolle, GoBD-Verfahrensdokumentation, Migrationsdokumentation, Betriebshandbuch</w:t>
      </w:r>
    </w:p>
    <w:p>
      <w:pPr>
        <w:spacing w:after="240"/>
      </w:pPr>
      <w:r>
        <w:rPr>
          <w:b w:val="0"/>
          <w:i w:val="0"/>
          <w:sz w:val="20"/>
        </w:rPr>
        <w:t>Der Quellcode wird in einem Repository von biotec abgelegt. biotec erhält ein unbefristetes, übertragbares Nutzungs- und Bearbeitungsrecht daran.</w:t>
      </w:r>
    </w:p>
    <w:p>
      <w:pPr>
        <w:spacing w:before="280" w:after="0"/>
      </w:pPr>
      <w:r>
        <w:rPr>
          <w:rFonts w:ascii="Calibri" w:hAnsi="Calibri"/>
          <w:b/>
          <w:color w:val="7F7F7F"/>
          <w:sz w:val="15"/>
        </w:rPr>
        <w:t>ABNAHMEKRITERIUM</w:t>
      </w:r>
    </w:p>
    <w:p>
      <w:pPr>
        <w:spacing w:before="40" w:after="120"/>
        <w:pBdr>
          <w:bottom w:val="single" w:sz="8" w:space="2" w:color="1F4E79"/>
        </w:pBdr>
      </w:pPr>
      <w:r>
        <w:rPr>
          <w:b/>
          <w:color w:val="1F4E79"/>
          <w:sz w:val="26"/>
        </w:rPr>
        <w:t>Layouttreue – was darunter zu verstehen ist</w:t>
      </w:r>
    </w:p>
    <w:p>
      <w:pPr>
        <w:spacing w:after="240"/>
      </w:pPr>
      <w:r>
        <w:rPr>
          <w:b w:val="0"/>
          <w:i w:val="0"/>
          <w:sz w:val="20"/>
        </w:rPr>
        <w:t>Layouttreue heißt: gleiche Gestaltungselemente, gleiche Reihenfolge, gleiche Pflichtangaben, Briefpapier und Schriftbild wie bisher. Die Abnahme erfolgt anhand eines je Belegart freigegebenen Musters (Meilenstein 2). Eine pixelgenaue Übereinstimmung mit der bisherigen Satzstrecke ist technisch nicht herstellbar und nicht Gegenstand der Abnahme. Nach Musterfreigabe sind zwei Korrekturschleifen je Belegart enthalten.</w:t>
      </w:r>
    </w:p>
    <w:p>
      <w:pPr>
        <w:spacing w:before="280" w:after="0"/>
      </w:pPr>
      <w:r>
        <w:rPr>
          <w:rFonts w:ascii="Calibri" w:hAnsi="Calibri"/>
          <w:b/>
          <w:color w:val="7F7F7F"/>
          <w:sz w:val="15"/>
        </w:rPr>
        <w:t>RUND 32 WOCHEN</w:t>
      </w:r>
    </w:p>
    <w:p>
      <w:pPr>
        <w:spacing w:before="40" w:after="120"/>
        <w:pBdr>
          <w:bottom w:val="single" w:sz="8" w:space="2" w:color="1F4E79"/>
        </w:pBdr>
      </w:pPr>
      <w:r>
        <w:rPr>
          <w:b/>
          <w:color w:val="1F4E79"/>
          <w:sz w:val="26"/>
        </w:rPr>
        <w:t>Zeitplan und Meilensteine</w:t>
      </w:r>
    </w:p>
    <w:p>
      <w:pPr>
        <w:spacing w:after="120"/>
      </w:pPr>
      <w:r>
        <w:rPr>
          <w:b w:val="0"/>
          <w:i w:val="0"/>
          <w:sz w:val="20"/>
        </w:rPr>
        <w:t xml:space="preserve">Die Angaben sind Wochen relativ zum Umstellungsstichtag </w:t>
      </w:r>
      <w:r>
        <w:rPr>
          <w:b/>
          <w:i w:val="0"/>
          <w:sz w:val="20"/>
        </w:rPr>
        <w:t>S</w:t>
      </w:r>
      <w:r>
        <w:rPr>
          <w:b w:val="0"/>
          <w:i w:val="0"/>
          <w:sz w:val="20"/>
        </w:rPr>
        <w:t>. Der Stichtag sollte auf einem Monatsersten außerhalb der Hochsaison liegen – empfohlen 1. Januar oder 1. April.</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680"/>
            <w:shd w:val="clear" w:fill="1F4E79"/>
          </w:tcPr>
          <w:p>
            <w:pPr>
              <w:spacing w:after="0"/>
            </w:pPr>
            <w:r>
              <w:rPr>
                <w:b/>
                <w:color w:val="FFFFFF"/>
                <w:sz w:val="19"/>
              </w:rPr>
              <w:t>Nr.</w:t>
            </w:r>
          </w:p>
        </w:tc>
        <w:tc>
          <w:tcPr>
            <w:tcW w:type="dxa" w:w="3969"/>
            <w:shd w:val="clear" w:fill="1F4E79"/>
          </w:tcPr>
          <w:p>
            <w:pPr>
              <w:spacing w:after="0"/>
            </w:pPr>
            <w:r>
              <w:rPr>
                <w:b/>
                <w:color w:val="FFFFFF"/>
                <w:sz w:val="19"/>
              </w:rPr>
              <w:t>Meilenstein</w:t>
            </w:r>
          </w:p>
        </w:tc>
        <w:tc>
          <w:tcPr>
            <w:tcW w:type="dxa" w:w="3402"/>
            <w:shd w:val="clear" w:fill="1F4E79"/>
          </w:tcPr>
          <w:p>
            <w:pPr>
              <w:spacing w:after="0"/>
            </w:pPr>
            <w:r>
              <w:rPr>
                <w:b/>
                <w:color w:val="FFFFFF"/>
                <w:sz w:val="19"/>
              </w:rPr>
              <w:t>Nachweis</w:t>
            </w:r>
          </w:p>
        </w:tc>
        <w:tc>
          <w:tcPr>
            <w:tcW w:type="dxa" w:w="1587"/>
            <w:shd w:val="clear" w:fill="1F4E79"/>
          </w:tcPr>
          <w:p>
            <w:pPr>
              <w:spacing w:after="0"/>
            </w:pPr>
            <w:r>
              <w:rPr>
                <w:b/>
                <w:color w:val="FFFFFF"/>
                <w:sz w:val="19"/>
              </w:rPr>
              <w:t>Woche</w:t>
            </w:r>
          </w:p>
        </w:tc>
      </w:tr>
      <w:tr>
        <w:tc>
          <w:tcPr>
            <w:tcW w:type="dxa" w:w="680"/>
          </w:tcPr>
          <w:p>
            <w:pPr>
              <w:spacing w:after="0"/>
            </w:pPr>
            <w:r>
              <w:rPr>
                <w:b w:val="0"/>
                <w:sz w:val="19"/>
              </w:rPr>
              <w:t>1</w:t>
            </w:r>
          </w:p>
        </w:tc>
        <w:tc>
          <w:tcPr>
            <w:tcW w:type="dxa" w:w="3969"/>
          </w:tcPr>
          <w:p>
            <w:pPr>
              <w:spacing w:after="0"/>
            </w:pPr>
            <w:r>
              <w:rPr>
                <w:b w:val="0"/>
                <w:sz w:val="19"/>
              </w:rPr>
              <w:t>Grobkonzept abgestimmt und freigegeben</w:t>
            </w:r>
          </w:p>
        </w:tc>
        <w:tc>
          <w:tcPr>
            <w:tcW w:type="dxa" w:w="3402"/>
          </w:tcPr>
          <w:p>
            <w:pPr>
              <w:spacing w:after="0"/>
            </w:pPr>
            <w:r>
              <w:rPr>
                <w:b w:val="0"/>
                <w:sz w:val="19"/>
              </w:rPr>
              <w:t>Konzeptdokument, Abnahmeprotokoll</w:t>
            </w:r>
          </w:p>
        </w:tc>
        <w:tc>
          <w:tcPr>
            <w:tcW w:type="dxa" w:w="1587"/>
          </w:tcPr>
          <w:p>
            <w:pPr>
              <w:spacing w:after="0"/>
            </w:pPr>
            <w:r>
              <w:rPr>
                <w:b w:val="0"/>
                <w:sz w:val="19"/>
              </w:rPr>
              <w:t>S − 26</w:t>
            </w:r>
          </w:p>
        </w:tc>
      </w:tr>
      <w:tr>
        <w:tc>
          <w:tcPr>
            <w:tcW w:type="dxa" w:w="680"/>
          </w:tcPr>
          <w:p>
            <w:pPr>
              <w:spacing w:after="0"/>
            </w:pPr>
            <w:r>
              <w:rPr>
                <w:b w:val="0"/>
                <w:sz w:val="19"/>
              </w:rPr>
              <w:t>2</w:t>
            </w:r>
          </w:p>
        </w:tc>
        <w:tc>
          <w:tcPr>
            <w:tcW w:type="dxa" w:w="3969"/>
          </w:tcPr>
          <w:p>
            <w:pPr>
              <w:spacing w:after="0"/>
            </w:pPr>
            <w:r>
              <w:rPr>
                <w:b w:val="0"/>
                <w:sz w:val="19"/>
              </w:rPr>
              <w:t>Detailspezifikation freigegeben, Belegmuster freigegeben</w:t>
            </w:r>
          </w:p>
        </w:tc>
        <w:tc>
          <w:tcPr>
            <w:tcW w:type="dxa" w:w="3402"/>
          </w:tcPr>
          <w:p>
            <w:pPr>
              <w:spacing w:after="0"/>
            </w:pPr>
            <w:r>
              <w:rPr>
                <w:b w:val="0"/>
                <w:sz w:val="19"/>
              </w:rPr>
              <w:t>Spezifikation, Layoutmuster</w:t>
            </w:r>
          </w:p>
        </w:tc>
        <w:tc>
          <w:tcPr>
            <w:tcW w:type="dxa" w:w="1587"/>
          </w:tcPr>
          <w:p>
            <w:pPr>
              <w:spacing w:after="0"/>
            </w:pPr>
            <w:r>
              <w:rPr>
                <w:b w:val="0"/>
                <w:sz w:val="19"/>
              </w:rPr>
              <w:t>S − 20</w:t>
            </w:r>
          </w:p>
        </w:tc>
      </w:tr>
      <w:tr>
        <w:tc>
          <w:tcPr>
            <w:tcW w:type="dxa" w:w="680"/>
          </w:tcPr>
          <w:p>
            <w:pPr>
              <w:spacing w:after="0"/>
            </w:pPr>
            <w:r>
              <w:rPr>
                <w:b w:val="0"/>
                <w:sz w:val="19"/>
              </w:rPr>
              <w:t>3</w:t>
            </w:r>
          </w:p>
        </w:tc>
        <w:tc>
          <w:tcPr>
            <w:tcW w:type="dxa" w:w="3969"/>
          </w:tcPr>
          <w:p>
            <w:pPr>
              <w:spacing w:after="0"/>
            </w:pPr>
            <w:r>
              <w:rPr>
                <w:b w:val="0"/>
                <w:sz w:val="19"/>
              </w:rPr>
              <w:t>Grundsystem konfiguriert, Stammdatenbrücke im Probebetrieb</w:t>
            </w:r>
          </w:p>
        </w:tc>
        <w:tc>
          <w:tcPr>
            <w:tcW w:type="dxa" w:w="3402"/>
          </w:tcPr>
          <w:p>
            <w:pPr>
              <w:spacing w:after="0"/>
            </w:pPr>
            <w:r>
              <w:rPr>
                <w:b w:val="0"/>
                <w:sz w:val="19"/>
              </w:rPr>
              <w:t>Testsystem, Brückenprotokoll</w:t>
            </w:r>
          </w:p>
        </w:tc>
        <w:tc>
          <w:tcPr>
            <w:tcW w:type="dxa" w:w="1587"/>
          </w:tcPr>
          <w:p>
            <w:pPr>
              <w:spacing w:after="0"/>
            </w:pPr>
            <w:r>
              <w:rPr>
                <w:b w:val="0"/>
                <w:sz w:val="19"/>
              </w:rPr>
              <w:t>S − 14</w:t>
            </w:r>
          </w:p>
        </w:tc>
      </w:tr>
      <w:tr>
        <w:tc>
          <w:tcPr>
            <w:tcW w:type="dxa" w:w="680"/>
          </w:tcPr>
          <w:p>
            <w:pPr>
              <w:spacing w:after="0"/>
            </w:pPr>
            <w:r>
              <w:rPr>
                <w:b w:val="0"/>
                <w:sz w:val="19"/>
              </w:rPr>
              <w:t>4</w:t>
            </w:r>
          </w:p>
        </w:tc>
        <w:tc>
          <w:tcPr>
            <w:tcW w:type="dxa" w:w="3969"/>
          </w:tcPr>
          <w:p>
            <w:pPr>
              <w:spacing w:after="0"/>
            </w:pPr>
            <w:r>
              <w:rPr>
                <w:b w:val="0"/>
                <w:sz w:val="19"/>
              </w:rPr>
              <w:t>Daten übernommen, Summen abgestimmt</w:t>
            </w:r>
          </w:p>
        </w:tc>
        <w:tc>
          <w:tcPr>
            <w:tcW w:type="dxa" w:w="3402"/>
          </w:tcPr>
          <w:p>
            <w:pPr>
              <w:spacing w:after="0"/>
            </w:pPr>
            <w:r>
              <w:rPr>
                <w:b w:val="0"/>
                <w:sz w:val="19"/>
              </w:rPr>
              <w:t>Migrationsprotokoll</w:t>
            </w:r>
          </w:p>
        </w:tc>
        <w:tc>
          <w:tcPr>
            <w:tcW w:type="dxa" w:w="1587"/>
          </w:tcPr>
          <w:p>
            <w:pPr>
              <w:spacing w:after="0"/>
            </w:pPr>
            <w:r>
              <w:rPr>
                <w:b w:val="0"/>
                <w:sz w:val="19"/>
              </w:rPr>
              <w:t>S − 10</w:t>
            </w:r>
          </w:p>
        </w:tc>
      </w:tr>
      <w:tr>
        <w:tc>
          <w:tcPr>
            <w:tcW w:type="dxa" w:w="680"/>
          </w:tcPr>
          <w:p>
            <w:pPr>
              <w:spacing w:after="0"/>
            </w:pPr>
            <w:r>
              <w:rPr>
                <w:b w:val="0"/>
                <w:sz w:val="19"/>
              </w:rPr>
              <w:t>5</w:t>
            </w:r>
          </w:p>
        </w:tc>
        <w:tc>
          <w:tcPr>
            <w:tcW w:type="dxa" w:w="3969"/>
          </w:tcPr>
          <w:p>
            <w:pPr>
              <w:spacing w:after="0"/>
            </w:pPr>
            <w:r>
              <w:rPr>
                <w:b w:val="0"/>
                <w:sz w:val="19"/>
              </w:rPr>
              <w:t>Abnahmetest bestanden, Betriebssimulation abgeschlossen</w:t>
            </w:r>
          </w:p>
        </w:tc>
        <w:tc>
          <w:tcPr>
            <w:tcW w:type="dxa" w:w="3402"/>
          </w:tcPr>
          <w:p>
            <w:pPr>
              <w:spacing w:after="0"/>
            </w:pPr>
            <w:r>
              <w:rPr>
                <w:b w:val="0"/>
                <w:sz w:val="19"/>
              </w:rPr>
              <w:t>Testprotokoll, Fehlerliste geschlossen</w:t>
            </w:r>
          </w:p>
        </w:tc>
        <w:tc>
          <w:tcPr>
            <w:tcW w:type="dxa" w:w="1587"/>
          </w:tcPr>
          <w:p>
            <w:pPr>
              <w:spacing w:after="0"/>
            </w:pPr>
            <w:r>
              <w:rPr>
                <w:b w:val="0"/>
                <w:sz w:val="19"/>
              </w:rPr>
              <w:t>S − 5</w:t>
            </w:r>
          </w:p>
        </w:tc>
      </w:tr>
      <w:tr>
        <w:tc>
          <w:tcPr>
            <w:tcW w:type="dxa" w:w="680"/>
          </w:tcPr>
          <w:p>
            <w:pPr>
              <w:spacing w:after="0"/>
            </w:pPr>
            <w:r>
              <w:rPr>
                <w:b w:val="0"/>
                <w:sz w:val="19"/>
              </w:rPr>
              <w:t>6</w:t>
            </w:r>
          </w:p>
        </w:tc>
        <w:tc>
          <w:tcPr>
            <w:tcW w:type="dxa" w:w="3969"/>
          </w:tcPr>
          <w:p>
            <w:pPr>
              <w:spacing w:after="0"/>
            </w:pPr>
            <w:r>
              <w:rPr>
                <w:b w:val="0"/>
                <w:sz w:val="19"/>
              </w:rPr>
              <w:t>Schulung durchgeführt</w:t>
            </w:r>
          </w:p>
        </w:tc>
        <w:tc>
          <w:tcPr>
            <w:tcW w:type="dxa" w:w="3402"/>
          </w:tcPr>
          <w:p>
            <w:pPr>
              <w:spacing w:after="0"/>
            </w:pPr>
            <w:r>
              <w:rPr>
                <w:b w:val="0"/>
                <w:sz w:val="19"/>
              </w:rPr>
              <w:t>Teilnehmerliste, Anwenderleitfäden</w:t>
            </w:r>
          </w:p>
        </w:tc>
        <w:tc>
          <w:tcPr>
            <w:tcW w:type="dxa" w:w="1587"/>
          </w:tcPr>
          <w:p>
            <w:pPr>
              <w:spacing w:after="0"/>
            </w:pPr>
            <w:r>
              <w:rPr>
                <w:b w:val="0"/>
                <w:sz w:val="19"/>
              </w:rPr>
              <w:t>S − 2</w:t>
            </w:r>
          </w:p>
        </w:tc>
      </w:tr>
      <w:tr>
        <w:tc>
          <w:tcPr>
            <w:tcW w:type="dxa" w:w="680"/>
            <w:shd w:val="clear" w:fill="FFF2A8"/>
          </w:tcPr>
          <w:p>
            <w:pPr>
              <w:spacing w:after="0"/>
            </w:pPr>
            <w:r>
              <w:rPr>
                <w:b w:val="0"/>
                <w:sz w:val="19"/>
              </w:rPr>
              <w:t>7</w:t>
            </w:r>
          </w:p>
        </w:tc>
        <w:tc>
          <w:tcPr>
            <w:tcW w:type="dxa" w:w="3969"/>
            <w:shd w:val="clear" w:fill="FFF2A8"/>
          </w:tcPr>
          <w:p>
            <w:pPr>
              <w:spacing w:after="0"/>
            </w:pPr>
            <w:r>
              <w:rPr>
                <w:b/>
                <w:sz w:val="19"/>
              </w:rPr>
              <w:t>Betriebsbereitschaft</w:t>
            </w:r>
            <w:r>
              <w:rPr>
                <w:b w:val="0"/>
                <w:sz w:val="19"/>
              </w:rPr>
              <w:t xml:space="preserve"> – Stichtag für die Aktivierung</w:t>
            </w:r>
          </w:p>
        </w:tc>
        <w:tc>
          <w:tcPr>
            <w:tcW w:type="dxa" w:w="3402"/>
            <w:shd w:val="clear" w:fill="FFF2A8"/>
          </w:tcPr>
          <w:p>
            <w:pPr>
              <w:spacing w:after="0"/>
            </w:pPr>
            <w:r>
              <w:rPr>
                <w:b w:val="0"/>
                <w:sz w:val="19"/>
              </w:rPr>
              <w:t>Abnahmeprotokoll Betriebsbereitschaft</w:t>
            </w:r>
          </w:p>
        </w:tc>
        <w:tc>
          <w:tcPr>
            <w:tcW w:type="dxa" w:w="1587"/>
            <w:shd w:val="clear" w:fill="FFF2A8"/>
          </w:tcPr>
          <w:p>
            <w:pPr>
              <w:spacing w:after="0"/>
            </w:pPr>
            <w:r>
              <w:rPr>
                <w:b w:val="0"/>
                <w:sz w:val="19"/>
              </w:rPr>
              <w:t>S</w:t>
            </w:r>
          </w:p>
        </w:tc>
      </w:tr>
      <w:tr>
        <w:tc>
          <w:tcPr>
            <w:tcW w:type="dxa" w:w="680"/>
          </w:tcPr>
          <w:p>
            <w:pPr>
              <w:spacing w:after="0"/>
            </w:pPr>
            <w:r>
              <w:rPr>
                <w:b w:val="0"/>
                <w:sz w:val="19"/>
              </w:rPr>
              <w:t>8</w:t>
            </w:r>
          </w:p>
        </w:tc>
        <w:tc>
          <w:tcPr>
            <w:tcW w:type="dxa" w:w="3969"/>
          </w:tcPr>
          <w:p>
            <w:pPr>
              <w:spacing w:after="0"/>
            </w:pPr>
            <w:r>
              <w:rPr>
                <w:b w:val="0"/>
                <w:sz w:val="19"/>
              </w:rPr>
              <w:t>Betreuungsphase abgeschlossen, erster Monatsabschluss begleitet</w:t>
            </w:r>
          </w:p>
        </w:tc>
        <w:tc>
          <w:tcPr>
            <w:tcW w:type="dxa" w:w="3402"/>
          </w:tcPr>
          <w:p>
            <w:pPr>
              <w:spacing w:after="0"/>
            </w:pPr>
            <w:r>
              <w:rPr>
                <w:b w:val="0"/>
                <w:sz w:val="19"/>
              </w:rPr>
              <w:t>Abschlussbericht, offene Punkte übergeben</w:t>
            </w:r>
          </w:p>
        </w:tc>
        <w:tc>
          <w:tcPr>
            <w:tcW w:type="dxa" w:w="1587"/>
          </w:tcPr>
          <w:p>
            <w:pPr>
              <w:spacing w:after="0"/>
            </w:pPr>
            <w:r>
              <w:rPr>
                <w:b w:val="0"/>
                <w:sz w:val="19"/>
              </w:rPr>
              <w:t>S + 6</w:t>
            </w:r>
          </w:p>
        </w:tc>
      </w:tr>
    </w:tbl>
    <w:p>
      <w:pPr>
        <w:spacing w:after="240"/>
      </w:pPr>
      <w:r>
        <w:rPr>
          <w:b w:val="0"/>
          <w:i/>
          <w:sz w:val="18"/>
        </w:rPr>
        <w:t>Der Meilenstein Betriebsbereitschaft ist der Stichtag, bis zu dem zurechenbare Herstellungskosten anfallen. Er wird mit einem eigenen Abnahmeprotokoll dokumentiert.</w:t>
      </w:r>
    </w:p>
    <w:p>
      <w:pPr>
        <w:spacing w:before="280" w:after="0"/>
      </w:pPr>
      <w:r>
        <w:rPr>
          <w:rFonts w:ascii="Calibri" w:hAnsi="Calibri"/>
          <w:b/>
          <w:color w:val="7F7F7F"/>
          <w:sz w:val="15"/>
        </w:rPr>
        <w:t>TERMINKRITISCH</w:t>
      </w:r>
    </w:p>
    <w:p>
      <w:pPr>
        <w:spacing w:before="40" w:after="120"/>
        <w:pBdr>
          <w:bottom w:val="single" w:sz="8" w:space="2" w:color="1F4E79"/>
        </w:pBdr>
      </w:pPr>
      <w:r>
        <w:rPr>
          <w:b/>
          <w:color w:val="1F4E79"/>
          <w:sz w:val="26"/>
        </w:rPr>
        <w:t>Mitwirkung von biotec</w:t>
      </w:r>
    </w:p>
    <w:p>
      <w:pPr>
        <w:spacing w:after="120"/>
      </w:pPr>
      <w:r>
        <w:rPr>
          <w:b w:val="0"/>
          <w:i w:val="0"/>
          <w:sz w:val="20"/>
        </w:rPr>
        <w:t>Eine Einführung gelingt nur gemeinsam. Die folgenden Punkte liegen bei biotec. Ohne sie verschiebt sich der Plan.</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680"/>
            <w:shd w:val="clear" w:fill="1F4E79"/>
          </w:tcPr>
          <w:p>
            <w:pPr>
              <w:spacing w:after="0"/>
            </w:pPr>
            <w:r>
              <w:rPr>
                <w:b/>
                <w:color w:val="FFFFFF"/>
                <w:sz w:val="19"/>
              </w:rPr>
              <w:t>Nr.</w:t>
            </w:r>
          </w:p>
        </w:tc>
        <w:tc>
          <w:tcPr>
            <w:tcW w:type="dxa" w:w="6236"/>
            <w:shd w:val="clear" w:fill="1F4E79"/>
          </w:tcPr>
          <w:p>
            <w:pPr>
              <w:spacing w:after="0"/>
            </w:pPr>
            <w:r>
              <w:rPr>
                <w:b/>
                <w:color w:val="FFFFFF"/>
                <w:sz w:val="19"/>
              </w:rPr>
              <w:t>Aufgabe</w:t>
            </w:r>
          </w:p>
        </w:tc>
        <w:tc>
          <w:tcPr>
            <w:tcW w:type="dxa" w:w="1701"/>
            <w:shd w:val="clear" w:fill="1F4E79"/>
          </w:tcPr>
          <w:p>
            <w:pPr>
              <w:spacing w:after="0"/>
            </w:pPr>
            <w:r>
              <w:rPr>
                <w:b/>
                <w:color w:val="FFFFFF"/>
                <w:sz w:val="19"/>
              </w:rPr>
              <w:t>Wer</w:t>
            </w:r>
          </w:p>
        </w:tc>
        <w:tc>
          <w:tcPr>
            <w:tcW w:type="dxa" w:w="1020"/>
            <w:shd w:val="clear" w:fill="1F4E79"/>
          </w:tcPr>
          <w:p>
            <w:pPr>
              <w:spacing w:after="0"/>
            </w:pPr>
            <w:r>
              <w:rPr>
                <w:b/>
                <w:color w:val="FFFFFF"/>
                <w:sz w:val="19"/>
              </w:rPr>
              <w:t>Wann</w:t>
            </w:r>
          </w:p>
        </w:tc>
      </w:tr>
      <w:tr>
        <w:tc>
          <w:tcPr>
            <w:tcW w:type="dxa" w:w="680"/>
            <w:shd w:val="clear" w:fill="FFF2A8"/>
          </w:tcPr>
          <w:p>
            <w:pPr>
              <w:spacing w:after="0"/>
            </w:pPr>
            <w:r>
              <w:rPr>
                <w:b w:val="0"/>
                <w:sz w:val="19"/>
              </w:rPr>
              <w:t>M1</w:t>
            </w:r>
          </w:p>
        </w:tc>
        <w:tc>
          <w:tcPr>
            <w:tcW w:type="dxa" w:w="6236"/>
            <w:shd w:val="clear" w:fill="FFF2A8"/>
          </w:tcPr>
          <w:p>
            <w:pPr>
              <w:spacing w:after="0"/>
            </w:pPr>
            <w:r>
              <w:rPr>
                <w:b/>
                <w:sz w:val="19"/>
              </w:rPr>
              <w:t>Stichtagsinventur</w:t>
            </w:r>
            <w:r>
              <w:rPr>
                <w:b w:val="0"/>
                <w:sz w:val="19"/>
              </w:rPr>
              <w:t xml:space="preserve"> des Verbrauchsmaterials unmittelbar vor der Umstellung – Gelatinefilter, Nährmedien, Röhrchen. Eine vollständige Lagerliste besteht heute nicht; der Bestand wird gezählt, nicht migriert</w:t>
            </w:r>
          </w:p>
        </w:tc>
        <w:tc>
          <w:tcPr>
            <w:tcW w:type="dxa" w:w="1701"/>
            <w:shd w:val="clear" w:fill="FFF2A8"/>
          </w:tcPr>
          <w:p>
            <w:pPr>
              <w:spacing w:after="0"/>
            </w:pPr>
            <w:r>
              <w:rPr>
                <w:b w:val="0"/>
                <w:sz w:val="19"/>
              </w:rPr>
              <w:t>biotec</w:t>
            </w:r>
          </w:p>
        </w:tc>
        <w:tc>
          <w:tcPr>
            <w:tcW w:type="dxa" w:w="1020"/>
            <w:shd w:val="clear" w:fill="FFF2A8"/>
          </w:tcPr>
          <w:p>
            <w:pPr>
              <w:spacing w:after="0"/>
            </w:pPr>
            <w:r>
              <w:rPr>
                <w:b w:val="0"/>
                <w:sz w:val="19"/>
              </w:rPr>
              <w:t>vor Umstellung</w:t>
            </w:r>
          </w:p>
        </w:tc>
      </w:tr>
      <w:tr>
        <w:tc>
          <w:tcPr>
            <w:tcW w:type="dxa" w:w="680"/>
            <w:shd w:val="clear" w:fill="FFF2A8"/>
          </w:tcPr>
          <w:p>
            <w:pPr>
              <w:spacing w:after="0"/>
            </w:pPr>
            <w:r>
              <w:rPr>
                <w:b w:val="0"/>
                <w:sz w:val="19"/>
              </w:rPr>
              <w:t>M2</w:t>
            </w:r>
          </w:p>
        </w:tc>
        <w:tc>
          <w:tcPr>
            <w:tcW w:type="dxa" w:w="6236"/>
            <w:shd w:val="clear" w:fill="FFF2A8"/>
          </w:tcPr>
          <w:p>
            <w:pPr>
              <w:spacing w:after="0"/>
            </w:pPr>
            <w:r>
              <w:rPr>
                <w:b/>
                <w:sz w:val="19"/>
              </w:rPr>
              <w:t>Finale Unterlagen zum Stichtag:</w:t>
            </w:r>
            <w:r>
              <w:rPr>
                <w:b w:val="0"/>
                <w:sz w:val="19"/>
              </w:rPr>
              <w:t xml:space="preserve"> offene Posten Debitoren und Kreditoren, Saldenvortrag, letzter Kontostand</w:t>
            </w:r>
          </w:p>
        </w:tc>
        <w:tc>
          <w:tcPr>
            <w:tcW w:type="dxa" w:w="1701"/>
            <w:shd w:val="clear" w:fill="FFF2A8"/>
          </w:tcPr>
          <w:p>
            <w:pPr>
              <w:spacing w:after="0"/>
            </w:pPr>
            <w:r>
              <w:rPr>
                <w:b w:val="0"/>
                <w:sz w:val="19"/>
              </w:rPr>
              <w:t>Buchhaltung</w:t>
            </w:r>
          </w:p>
        </w:tc>
        <w:tc>
          <w:tcPr>
            <w:tcW w:type="dxa" w:w="1020"/>
            <w:shd w:val="clear" w:fill="FFF2A8"/>
          </w:tcPr>
          <w:p>
            <w:pPr>
              <w:spacing w:after="0"/>
            </w:pPr>
            <w:r>
              <w:rPr>
                <w:b w:val="0"/>
                <w:sz w:val="19"/>
              </w:rPr>
              <w:t>Stichtag</w:t>
            </w:r>
          </w:p>
        </w:tc>
      </w:tr>
      <w:tr>
        <w:tc>
          <w:tcPr>
            <w:tcW w:type="dxa" w:w="680"/>
          </w:tcPr>
          <w:p>
            <w:pPr>
              <w:spacing w:after="0"/>
            </w:pPr>
            <w:r>
              <w:rPr>
                <w:b w:val="0"/>
                <w:sz w:val="19"/>
              </w:rPr>
              <w:t>M3</w:t>
            </w:r>
          </w:p>
        </w:tc>
        <w:tc>
          <w:tcPr>
            <w:tcW w:type="dxa" w:w="6236"/>
          </w:tcPr>
          <w:p>
            <w:pPr>
              <w:spacing w:after="0"/>
            </w:pPr>
            <w:r>
              <w:rPr>
                <w:b/>
                <w:sz w:val="19"/>
              </w:rPr>
              <w:t>Summen- und Saldenliste als Excel oder CSV.</w:t>
            </w:r>
            <w:r>
              <w:rPr>
                <w:b w:val="0"/>
                <w:sz w:val="19"/>
              </w:rPr>
              <w:t xml:space="preserve"> Die vorliegende Fassung besteht aus Bildschirmfotos und ist maschinell nicht auswertbar</w:t>
            </w:r>
          </w:p>
        </w:tc>
        <w:tc>
          <w:tcPr>
            <w:tcW w:type="dxa" w:w="1701"/>
          </w:tcPr>
          <w:p>
            <w:pPr>
              <w:spacing w:after="0"/>
            </w:pPr>
            <w:r>
              <w:rPr>
                <w:b w:val="0"/>
                <w:sz w:val="19"/>
              </w:rPr>
              <w:t>Buchhaltung</w:t>
            </w:r>
          </w:p>
        </w:tc>
        <w:tc>
          <w:tcPr>
            <w:tcW w:type="dxa" w:w="1020"/>
          </w:tcPr>
          <w:p>
            <w:pPr>
              <w:spacing w:after="0"/>
            </w:pPr>
            <w:r>
              <w:rPr>
                <w:b w:val="0"/>
                <w:sz w:val="19"/>
              </w:rPr>
              <w:t>Projektstart</w:t>
            </w:r>
          </w:p>
        </w:tc>
      </w:tr>
      <w:tr>
        <w:tc>
          <w:tcPr>
            <w:tcW w:type="dxa" w:w="680"/>
          </w:tcPr>
          <w:p>
            <w:pPr>
              <w:spacing w:after="0"/>
            </w:pPr>
            <w:r>
              <w:rPr>
                <w:b w:val="0"/>
                <w:sz w:val="19"/>
              </w:rPr>
              <w:t>M4</w:t>
            </w:r>
          </w:p>
        </w:tc>
        <w:tc>
          <w:tcPr>
            <w:tcW w:type="dxa" w:w="6236"/>
          </w:tcPr>
          <w:p>
            <w:pPr>
              <w:spacing w:after="0"/>
            </w:pPr>
            <w:r>
              <w:rPr>
                <w:b w:val="0"/>
                <w:sz w:val="19"/>
              </w:rPr>
              <w:t>Fehlende Quelldateien des Altsystems, vor allem die Briefköpfe und Vorlagen aus der Gutachten-Software</w:t>
            </w:r>
          </w:p>
        </w:tc>
        <w:tc>
          <w:tcPr>
            <w:tcW w:type="dxa" w:w="1701"/>
          </w:tcPr>
          <w:p>
            <w:pPr>
              <w:spacing w:after="0"/>
            </w:pPr>
            <w:r>
              <w:rPr>
                <w:b w:val="0"/>
                <w:sz w:val="19"/>
              </w:rPr>
              <w:t>Westbomke EDV</w:t>
            </w:r>
          </w:p>
        </w:tc>
        <w:tc>
          <w:tcPr>
            <w:tcW w:type="dxa" w:w="1020"/>
          </w:tcPr>
          <w:p>
            <w:pPr>
              <w:spacing w:after="0"/>
            </w:pPr>
            <w:r>
              <w:rPr>
                <w:b w:val="0"/>
                <w:sz w:val="19"/>
              </w:rPr>
              <w:t>vor Layoutarbeit</w:t>
            </w:r>
          </w:p>
        </w:tc>
      </w:tr>
      <w:tr>
        <w:tc>
          <w:tcPr>
            <w:tcW w:type="dxa" w:w="680"/>
          </w:tcPr>
          <w:p>
            <w:pPr>
              <w:spacing w:after="0"/>
            </w:pPr>
            <w:r>
              <w:rPr>
                <w:b w:val="0"/>
                <w:sz w:val="19"/>
              </w:rPr>
              <w:t>M5</w:t>
            </w:r>
          </w:p>
        </w:tc>
        <w:tc>
          <w:tcPr>
            <w:tcW w:type="dxa" w:w="6236"/>
          </w:tcPr>
          <w:p>
            <w:pPr>
              <w:spacing w:after="0"/>
            </w:pPr>
            <w:r>
              <w:rPr>
                <w:b w:val="0"/>
                <w:sz w:val="19"/>
              </w:rPr>
              <w:t>Prüfintervalle je Anlagentyp: nach welcher Regel wird heute terminiert</w:t>
            </w:r>
          </w:p>
        </w:tc>
        <w:tc>
          <w:tcPr>
            <w:tcW w:type="dxa" w:w="1701"/>
          </w:tcPr>
          <w:p>
            <w:pPr>
              <w:spacing w:after="0"/>
            </w:pPr>
            <w:r>
              <w:rPr>
                <w:b w:val="0"/>
                <w:sz w:val="19"/>
              </w:rPr>
              <w:t>biotec</w:t>
            </w:r>
          </w:p>
        </w:tc>
        <w:tc>
          <w:tcPr>
            <w:tcW w:type="dxa" w:w="1020"/>
          </w:tcPr>
          <w:p>
            <w:pPr>
              <w:spacing w:after="0"/>
            </w:pPr>
            <w:r>
              <w:rPr>
                <w:b w:val="0"/>
                <w:sz w:val="19"/>
              </w:rPr>
              <w:t>vor Konfiguration</w:t>
            </w:r>
          </w:p>
        </w:tc>
      </w:tr>
      <w:tr>
        <w:tc>
          <w:tcPr>
            <w:tcW w:type="dxa" w:w="680"/>
          </w:tcPr>
          <w:p>
            <w:pPr>
              <w:spacing w:after="0"/>
            </w:pPr>
            <w:r>
              <w:rPr>
                <w:b w:val="0"/>
                <w:sz w:val="19"/>
              </w:rPr>
              <w:t>M6</w:t>
            </w:r>
          </w:p>
        </w:tc>
        <w:tc>
          <w:tcPr>
            <w:tcW w:type="dxa" w:w="6236"/>
          </w:tcPr>
          <w:p>
            <w:pPr>
              <w:spacing w:after="0"/>
            </w:pPr>
            <w:r>
              <w:rPr>
                <w:b w:val="0"/>
                <w:sz w:val="19"/>
              </w:rPr>
              <w:t>Bestätigung des gültigen Kundenstands – im Altsystem liegen mehrere Fassungen nebeneinander</w:t>
            </w:r>
          </w:p>
        </w:tc>
        <w:tc>
          <w:tcPr>
            <w:tcW w:type="dxa" w:w="1701"/>
          </w:tcPr>
          <w:p>
            <w:pPr>
              <w:spacing w:after="0"/>
            </w:pPr>
            <w:r>
              <w:rPr>
                <w:b w:val="0"/>
                <w:sz w:val="19"/>
              </w:rPr>
              <w:t>biotec</w:t>
            </w:r>
          </w:p>
        </w:tc>
        <w:tc>
          <w:tcPr>
            <w:tcW w:type="dxa" w:w="1020"/>
          </w:tcPr>
          <w:p>
            <w:pPr>
              <w:spacing w:after="0"/>
            </w:pPr>
            <w:r>
              <w:rPr>
                <w:b w:val="0"/>
                <w:sz w:val="19"/>
              </w:rPr>
              <w:t>vor Migration</w:t>
            </w:r>
          </w:p>
        </w:tc>
      </w:tr>
      <w:tr>
        <w:tc>
          <w:tcPr>
            <w:tcW w:type="dxa" w:w="680"/>
          </w:tcPr>
          <w:p>
            <w:pPr>
              <w:spacing w:after="0"/>
            </w:pPr>
            <w:r>
              <w:rPr>
                <w:b w:val="0"/>
                <w:sz w:val="19"/>
              </w:rPr>
              <w:t>M7</w:t>
            </w:r>
          </w:p>
        </w:tc>
        <w:tc>
          <w:tcPr>
            <w:tcW w:type="dxa" w:w="6236"/>
          </w:tcPr>
          <w:p>
            <w:pPr>
              <w:spacing w:after="0"/>
            </w:pPr>
            <w:r>
              <w:rPr>
                <w:b w:val="0"/>
                <w:sz w:val="19"/>
              </w:rPr>
              <w:t>Freigabe der Belegmuster durch die Geschäftsführung, je Belegart</w:t>
            </w:r>
          </w:p>
        </w:tc>
        <w:tc>
          <w:tcPr>
            <w:tcW w:type="dxa" w:w="1701"/>
          </w:tcPr>
          <w:p>
            <w:pPr>
              <w:spacing w:after="0"/>
            </w:pPr>
            <w:r>
              <w:rPr>
                <w:b w:val="0"/>
                <w:sz w:val="19"/>
              </w:rPr>
              <w:t>biotec</w:t>
            </w:r>
          </w:p>
        </w:tc>
        <w:tc>
          <w:tcPr>
            <w:tcW w:type="dxa" w:w="1020"/>
          </w:tcPr>
          <w:p>
            <w:pPr>
              <w:spacing w:after="0"/>
            </w:pPr>
            <w:r>
              <w:rPr>
                <w:b w:val="0"/>
                <w:sz w:val="19"/>
              </w:rPr>
              <w:t>Meilenstein 2</w:t>
            </w:r>
          </w:p>
        </w:tc>
      </w:tr>
      <w:tr>
        <w:tc>
          <w:tcPr>
            <w:tcW w:type="dxa" w:w="680"/>
          </w:tcPr>
          <w:p>
            <w:pPr>
              <w:spacing w:after="0"/>
            </w:pPr>
            <w:r>
              <w:rPr>
                <w:b w:val="0"/>
                <w:sz w:val="19"/>
              </w:rPr>
              <w:t>M8</w:t>
            </w:r>
          </w:p>
        </w:tc>
        <w:tc>
          <w:tcPr>
            <w:tcW w:type="dxa" w:w="6236"/>
          </w:tcPr>
          <w:p>
            <w:pPr>
              <w:spacing w:after="0"/>
            </w:pPr>
            <w:r>
              <w:rPr>
                <w:b w:val="0"/>
                <w:sz w:val="19"/>
              </w:rPr>
              <w:t>Benennung der vier Personen für die Vor-Ort-Schulung</w:t>
            </w:r>
          </w:p>
        </w:tc>
        <w:tc>
          <w:tcPr>
            <w:tcW w:type="dxa" w:w="1701"/>
          </w:tcPr>
          <w:p>
            <w:pPr>
              <w:spacing w:after="0"/>
            </w:pPr>
            <w:r>
              <w:rPr>
                <w:b w:val="0"/>
                <w:sz w:val="19"/>
              </w:rPr>
              <w:t>biotec</w:t>
            </w:r>
          </w:p>
        </w:tc>
        <w:tc>
          <w:tcPr>
            <w:tcW w:type="dxa" w:w="1020"/>
          </w:tcPr>
          <w:p>
            <w:pPr>
              <w:spacing w:after="0"/>
            </w:pPr>
            <w:r>
              <w:rPr>
                <w:b w:val="0"/>
                <w:sz w:val="19"/>
              </w:rPr>
              <w:t>vor Meilenstein 5</w:t>
            </w:r>
          </w:p>
        </w:tc>
      </w:tr>
      <w:tr>
        <w:tc>
          <w:tcPr>
            <w:tcW w:type="dxa" w:w="680"/>
          </w:tcPr>
          <w:p>
            <w:pPr>
              <w:spacing w:after="0"/>
            </w:pPr>
            <w:r>
              <w:rPr>
                <w:b w:val="0"/>
                <w:sz w:val="19"/>
              </w:rPr>
              <w:t>M9</w:t>
            </w:r>
          </w:p>
        </w:tc>
        <w:tc>
          <w:tcPr>
            <w:tcW w:type="dxa" w:w="6236"/>
          </w:tcPr>
          <w:p>
            <w:pPr>
              <w:spacing w:after="0"/>
            </w:pPr>
            <w:r>
              <w:rPr>
                <w:b w:val="0"/>
                <w:sz w:val="19"/>
              </w:rPr>
              <w:t>Verfügbarkeit der Fachbereiche für Abstimmung, Test und Betriebssimulation – etwa ein halber Tag je Woche und Bereich, in der Simulationsphase mehr</w:t>
            </w:r>
          </w:p>
        </w:tc>
        <w:tc>
          <w:tcPr>
            <w:tcW w:type="dxa" w:w="1701"/>
          </w:tcPr>
          <w:p>
            <w:pPr>
              <w:spacing w:after="0"/>
            </w:pPr>
            <w:r>
              <w:rPr>
                <w:b w:val="0"/>
                <w:sz w:val="19"/>
              </w:rPr>
              <w:t>biotec</w:t>
            </w:r>
          </w:p>
        </w:tc>
        <w:tc>
          <w:tcPr>
            <w:tcW w:type="dxa" w:w="1020"/>
          </w:tcPr>
          <w:p>
            <w:pPr>
              <w:spacing w:after="0"/>
            </w:pPr>
            <w:r>
              <w:rPr>
                <w:b w:val="0"/>
                <w:sz w:val="19"/>
              </w:rPr>
              <w:t>laufend</w:t>
            </w:r>
          </w:p>
        </w:tc>
      </w:tr>
      <w:tr>
        <w:tc>
          <w:tcPr>
            <w:tcW w:type="dxa" w:w="680"/>
          </w:tcPr>
          <w:p>
            <w:pPr>
              <w:spacing w:after="0"/>
            </w:pPr>
            <w:r>
              <w:rPr>
                <w:b w:val="0"/>
                <w:sz w:val="19"/>
              </w:rPr>
              <w:t>M10</w:t>
            </w:r>
          </w:p>
        </w:tc>
        <w:tc>
          <w:tcPr>
            <w:tcW w:type="dxa" w:w="6236"/>
          </w:tcPr>
          <w:p>
            <w:pPr>
              <w:spacing w:after="0"/>
            </w:pPr>
            <w:r>
              <w:rPr>
                <w:b w:val="0"/>
                <w:sz w:val="19"/>
              </w:rPr>
              <w:t>Zugang zum produktiven Bestand des Altsystems und eine Sicherung zum Testen, dazu Zugriff auf das Vorlagenverzeichnis</w:t>
            </w:r>
          </w:p>
        </w:tc>
        <w:tc>
          <w:tcPr>
            <w:tcW w:type="dxa" w:w="1701"/>
          </w:tcPr>
          <w:p>
            <w:pPr>
              <w:spacing w:after="0"/>
            </w:pPr>
            <w:r>
              <w:rPr>
                <w:b w:val="0"/>
                <w:sz w:val="19"/>
              </w:rPr>
              <w:t>Westbomke EDV</w:t>
            </w:r>
          </w:p>
        </w:tc>
        <w:tc>
          <w:tcPr>
            <w:tcW w:type="dxa" w:w="1020"/>
          </w:tcPr>
          <w:p>
            <w:pPr>
              <w:spacing w:after="0"/>
            </w:pPr>
            <w:r>
              <w:rPr>
                <w:b w:val="0"/>
                <w:sz w:val="19"/>
              </w:rPr>
              <w:t>Projektstart</w:t>
            </w:r>
          </w:p>
        </w:tc>
      </w:tr>
      <w:tr>
        <w:tc>
          <w:tcPr>
            <w:tcW w:type="dxa" w:w="680"/>
            <w:shd w:val="clear" w:fill="FFF2A8"/>
          </w:tcPr>
          <w:p>
            <w:pPr>
              <w:spacing w:after="0"/>
            </w:pPr>
            <w:r>
              <w:rPr>
                <w:b w:val="0"/>
                <w:sz w:val="19"/>
              </w:rPr>
              <w:t>M11</w:t>
            </w:r>
          </w:p>
        </w:tc>
        <w:tc>
          <w:tcPr>
            <w:tcW w:type="dxa" w:w="6236"/>
            <w:shd w:val="clear" w:fill="FFF2A8"/>
          </w:tcPr>
          <w:p>
            <w:pPr>
              <w:spacing w:after="0"/>
            </w:pPr>
            <w:r>
              <w:rPr>
                <w:b/>
                <w:sz w:val="19"/>
              </w:rPr>
              <w:t>Schriftliche Schnittstellenvereinbarung mit Westbomke EDV</w:t>
            </w:r>
            <w:r>
              <w:rPr>
                <w:b w:val="0"/>
                <w:sz w:val="19"/>
              </w:rPr>
              <w:t xml:space="preserve"> mit benanntem Ansprechpartner und Reaktionszeit sowie deren Auftrag für die Arbeiten am Gutachtenprogramm</w:t>
            </w:r>
          </w:p>
        </w:tc>
        <w:tc>
          <w:tcPr>
            <w:tcW w:type="dxa" w:w="1701"/>
            <w:shd w:val="clear" w:fill="FFF2A8"/>
          </w:tcPr>
          <w:p>
            <w:pPr>
              <w:spacing w:after="0"/>
            </w:pPr>
            <w:r>
              <w:rPr>
                <w:b w:val="0"/>
                <w:sz w:val="19"/>
              </w:rPr>
              <w:t>biotec</w:t>
            </w:r>
          </w:p>
        </w:tc>
        <w:tc>
          <w:tcPr>
            <w:tcW w:type="dxa" w:w="1020"/>
            <w:shd w:val="clear" w:fill="FFF2A8"/>
          </w:tcPr>
          <w:p>
            <w:pPr>
              <w:spacing w:after="0"/>
            </w:pPr>
            <w:r>
              <w:rPr>
                <w:b w:val="0"/>
                <w:sz w:val="19"/>
              </w:rPr>
              <w:t>vor Meilenstein 2</w:t>
            </w:r>
          </w:p>
        </w:tc>
      </w:tr>
      <w:tr>
        <w:tc>
          <w:tcPr>
            <w:tcW w:type="dxa" w:w="680"/>
          </w:tcPr>
          <w:p>
            <w:pPr>
              <w:spacing w:after="0"/>
            </w:pPr>
            <w:r>
              <w:rPr>
                <w:b w:val="0"/>
                <w:sz w:val="19"/>
              </w:rPr>
              <w:t>M12</w:t>
            </w:r>
          </w:p>
        </w:tc>
        <w:tc>
          <w:tcPr>
            <w:tcW w:type="dxa" w:w="6236"/>
          </w:tcPr>
          <w:p>
            <w:pPr>
              <w:spacing w:after="0"/>
            </w:pPr>
            <w:r>
              <w:rPr>
                <w:b w:val="0"/>
                <w:sz w:val="19"/>
              </w:rPr>
              <w:t>Inhaltliche Datenbereinigung nach unserer Vorlage: Kundenliste, Herstellerbezeichnungen, Wartungsfirmen. Reduziert Position 5.9 – und nur so stehen am Ende die fachlich richtigen Bezeichnungen im System</w:t>
            </w:r>
          </w:p>
        </w:tc>
        <w:tc>
          <w:tcPr>
            <w:tcW w:type="dxa" w:w="1701"/>
          </w:tcPr>
          <w:p>
            <w:pPr>
              <w:spacing w:after="0"/>
            </w:pPr>
            <w:r>
              <w:rPr>
                <w:b w:val="0"/>
                <w:sz w:val="19"/>
              </w:rPr>
              <w:t>biotec</w:t>
            </w:r>
          </w:p>
        </w:tc>
        <w:tc>
          <w:tcPr>
            <w:tcW w:type="dxa" w:w="1020"/>
          </w:tcPr>
          <w:p>
            <w:pPr>
              <w:spacing w:after="0"/>
            </w:pPr>
            <w:r>
              <w:rPr>
                <w:b w:val="0"/>
                <w:sz w:val="19"/>
              </w:rPr>
              <w:t>vor Migration</w:t>
            </w:r>
          </w:p>
        </w:tc>
      </w:tr>
      <w:tr>
        <w:tc>
          <w:tcPr>
            <w:tcW w:type="dxa" w:w="680"/>
          </w:tcPr>
          <w:p>
            <w:pPr>
              <w:spacing w:after="0"/>
            </w:pPr>
            <w:r>
              <w:rPr>
                <w:b w:val="0"/>
                <w:sz w:val="19"/>
              </w:rPr>
              <w:t>M13</w:t>
            </w:r>
          </w:p>
        </w:tc>
        <w:tc>
          <w:tcPr>
            <w:tcW w:type="dxa" w:w="6236"/>
          </w:tcPr>
          <w:p>
            <w:pPr>
              <w:spacing w:after="0"/>
            </w:pPr>
            <w:r>
              <w:rPr>
                <w:b w:val="0"/>
                <w:sz w:val="19"/>
              </w:rPr>
              <w:t>Doppelerfassung während der Betriebssimulation: die Fälle laufen einen Monat in beiden Systemen</w:t>
            </w:r>
          </w:p>
        </w:tc>
        <w:tc>
          <w:tcPr>
            <w:tcW w:type="dxa" w:w="1701"/>
          </w:tcPr>
          <w:p>
            <w:pPr>
              <w:spacing w:after="0"/>
            </w:pPr>
            <w:r>
              <w:rPr>
                <w:b w:val="0"/>
                <w:sz w:val="19"/>
              </w:rPr>
              <w:t>biotec</w:t>
            </w:r>
          </w:p>
        </w:tc>
        <w:tc>
          <w:tcPr>
            <w:tcW w:type="dxa" w:w="1020"/>
          </w:tcPr>
          <w:p>
            <w:pPr>
              <w:spacing w:after="0"/>
            </w:pPr>
            <w:r>
              <w:rPr>
                <w:b w:val="0"/>
                <w:sz w:val="19"/>
              </w:rPr>
              <w:t>Simulationsphase</w:t>
            </w:r>
          </w:p>
        </w:tc>
      </w:tr>
      <w:tr>
        <w:tc>
          <w:tcPr>
            <w:tcW w:type="dxa" w:w="680"/>
            <w:shd w:val="clear" w:fill="FFF2A8"/>
          </w:tcPr>
          <w:p>
            <w:pPr>
              <w:spacing w:after="0"/>
            </w:pPr>
            <w:r>
              <w:rPr>
                <w:b w:val="0"/>
                <w:sz w:val="19"/>
              </w:rPr>
              <w:t>M14</w:t>
            </w:r>
          </w:p>
        </w:tc>
        <w:tc>
          <w:tcPr>
            <w:tcW w:type="dxa" w:w="6236"/>
            <w:shd w:val="clear" w:fill="FFF2A8"/>
          </w:tcPr>
          <w:p>
            <w:pPr>
              <w:spacing w:after="0"/>
            </w:pPr>
            <w:r>
              <w:rPr>
                <w:b w:val="0"/>
                <w:sz w:val="19"/>
              </w:rPr>
              <w:t>Entscheidung über das Betriebsmodell von Odoo – Voraussetzung der Machbarkeit, siehe Annahmen</w:t>
            </w:r>
          </w:p>
        </w:tc>
        <w:tc>
          <w:tcPr>
            <w:tcW w:type="dxa" w:w="1701"/>
            <w:shd w:val="clear" w:fill="FFF2A8"/>
          </w:tcPr>
          <w:p>
            <w:pPr>
              <w:spacing w:after="0"/>
            </w:pPr>
            <w:r>
              <w:rPr>
                <w:b w:val="0"/>
                <w:sz w:val="19"/>
              </w:rPr>
              <w:t>biotec</w:t>
            </w:r>
          </w:p>
        </w:tc>
        <w:tc>
          <w:tcPr>
            <w:tcW w:type="dxa" w:w="1020"/>
            <w:shd w:val="clear" w:fill="FFF2A8"/>
          </w:tcPr>
          <w:p>
            <w:pPr>
              <w:spacing w:after="0"/>
            </w:pPr>
            <w:r>
              <w:rPr>
                <w:b w:val="0"/>
                <w:sz w:val="19"/>
              </w:rPr>
              <w:t>vor Beauftragung</w:t>
            </w:r>
          </w:p>
        </w:tc>
      </w:tr>
    </w:tbl>
    <w:p>
      <w:r>
        <w:br w:type="page"/>
      </w:r>
    </w:p>
    <w:p>
      <w:pPr>
        <w:spacing w:before="280" w:after="0"/>
      </w:pPr>
      <w:r>
        <w:rPr>
          <w:rFonts w:ascii="Calibri" w:hAnsi="Calibri"/>
          <w:b/>
          <w:color w:val="7F7F7F"/>
          <w:sz w:val="15"/>
        </w:rPr>
        <w:t>OFFEN BENANNT</w:t>
      </w:r>
    </w:p>
    <w:p>
      <w:pPr>
        <w:spacing w:before="40" w:after="120"/>
        <w:pBdr>
          <w:bottom w:val="single" w:sz="8" w:space="2" w:color="1F4E79"/>
        </w:pBdr>
      </w:pPr>
      <w:r>
        <w:rPr>
          <w:b/>
          <w:color w:val="1F4E79"/>
          <w:sz w:val="26"/>
        </w:rPr>
        <w:t>Risiken und wie wir damit umgehen</w:t>
      </w:r>
    </w:p>
    <w:tbl>
      <w:tblPr>
        <w:tblStyle w:val="TableGrid"/>
        <w:tblW w:type="auto" w:w="0"/>
        <w:jc w:val="left"/>
        <w:tblLook w:firstColumn="1" w:firstRow="1" w:lastColumn="0" w:lastRow="0" w:noHBand="0" w:noVBand="1" w:val="04A0"/>
      </w:tblPr>
      <w:tblGrid>
        <w:gridCol w:w="3213"/>
        <w:gridCol w:w="3213"/>
        <w:gridCol w:w="3213"/>
      </w:tblGrid>
      <w:tr>
        <w:tc>
          <w:tcPr>
            <w:tcW w:type="dxa" w:w="2041"/>
            <w:shd w:val="clear" w:fill="1F4E79"/>
          </w:tcPr>
          <w:p>
            <w:pPr>
              <w:spacing w:after="0"/>
            </w:pPr>
            <w:r>
              <w:rPr>
                <w:b/>
                <w:color w:val="FFFFFF"/>
                <w:sz w:val="19"/>
              </w:rPr>
              <w:t>Thema</w:t>
            </w:r>
          </w:p>
        </w:tc>
        <w:tc>
          <w:tcPr>
            <w:tcW w:type="dxa" w:w="3798"/>
            <w:shd w:val="clear" w:fill="1F4E79"/>
          </w:tcPr>
          <w:p>
            <w:pPr>
              <w:spacing w:after="0"/>
            </w:pPr>
            <w:r>
              <w:rPr>
                <w:b/>
                <w:color w:val="FFFFFF"/>
                <w:sz w:val="19"/>
              </w:rPr>
              <w:t>Sachverhalt</w:t>
            </w:r>
          </w:p>
        </w:tc>
        <w:tc>
          <w:tcPr>
            <w:tcW w:type="dxa" w:w="3798"/>
            <w:shd w:val="clear" w:fill="1F4E79"/>
          </w:tcPr>
          <w:p>
            <w:pPr>
              <w:spacing w:after="0"/>
            </w:pPr>
            <w:r>
              <w:rPr>
                <w:b/>
                <w:color w:val="FFFFFF"/>
                <w:sz w:val="19"/>
              </w:rPr>
              <w:t>Umgang</w:t>
            </w:r>
          </w:p>
        </w:tc>
      </w:tr>
      <w:tr>
        <w:tc>
          <w:tcPr>
            <w:tcW w:type="dxa" w:w="2041"/>
          </w:tcPr>
          <w:p>
            <w:pPr>
              <w:spacing w:after="0"/>
            </w:pPr>
            <w:r>
              <w:rPr>
                <w:b w:val="0"/>
                <w:sz w:val="19"/>
              </w:rPr>
              <w:t>Arbeiten am Gutachtenprogramm</w:t>
            </w:r>
          </w:p>
        </w:tc>
        <w:tc>
          <w:tcPr>
            <w:tcW w:type="dxa" w:w="3798"/>
          </w:tcPr>
          <w:p>
            <w:pPr>
              <w:spacing w:after="0"/>
            </w:pPr>
            <w:r>
              <w:rPr>
                <w:b w:val="0"/>
                <w:sz w:val="19"/>
              </w:rPr>
              <w:t>Die Abschaltung der Erfassungsmasken und ein etwaiger Rückmeldekanal betreffen die Delphi-Anwendung. Diese Arbeiten erbringt Westbomke EDV auf eigenen Auftrag von biotec und sind hier nicht enthalten</w:t>
            </w:r>
          </w:p>
        </w:tc>
        <w:tc>
          <w:tcPr>
            <w:tcW w:type="dxa" w:w="3798"/>
          </w:tcPr>
          <w:p>
            <w:pPr>
              <w:spacing w:after="0"/>
            </w:pPr>
            <w:r>
              <w:rPr>
                <w:b w:val="0"/>
                <w:sz w:val="19"/>
              </w:rPr>
              <w:t>Schnittstellenvereinbarung M11, Rückfallebene als Option O7. Die Menüpunkte lassen sich voraussichtlich über die bestehende Rechtetabelle des Altsystems abschalten, ohne Eingriff in den Programmcode</w:t>
            </w:r>
          </w:p>
        </w:tc>
      </w:tr>
      <w:tr>
        <w:tc>
          <w:tcPr>
            <w:tcW w:type="dxa" w:w="2041"/>
          </w:tcPr>
          <w:p>
            <w:pPr>
              <w:spacing w:after="0"/>
            </w:pPr>
            <w:r>
              <w:rPr>
                <w:b w:val="0"/>
                <w:sz w:val="19"/>
              </w:rPr>
              <w:t>Altsystem ohne Dokumentation</w:t>
            </w:r>
          </w:p>
        </w:tc>
        <w:tc>
          <w:tcPr>
            <w:tcW w:type="dxa" w:w="3798"/>
          </w:tcPr>
          <w:p>
            <w:pPr>
              <w:spacing w:after="0"/>
            </w:pPr>
            <w:r>
              <w:rPr>
                <w:b w:val="0"/>
                <w:sz w:val="19"/>
              </w:rPr>
              <w:t>Alle Erkenntnisse zu Tabellen und Feldern stammen aus unserer eigenen Auswertung von Quellcode und Datenbestand, nicht aus einer Herstellerdokumentation</w:t>
            </w:r>
          </w:p>
        </w:tc>
        <w:tc>
          <w:tcPr>
            <w:tcW w:type="dxa" w:w="3798"/>
          </w:tcPr>
          <w:p>
            <w:pPr>
              <w:spacing w:after="0"/>
            </w:pPr>
            <w:r>
              <w:rPr>
                <w:b w:val="0"/>
                <w:sz w:val="19"/>
              </w:rPr>
              <w:t>Abweichende Feldbedeutungen werden nach Aufwand nachgezogen und vorher angezeigt</w:t>
            </w:r>
          </w:p>
        </w:tc>
      </w:tr>
      <w:tr>
        <w:tc>
          <w:tcPr>
            <w:tcW w:type="dxa" w:w="2041"/>
          </w:tcPr>
          <w:p>
            <w:pPr>
              <w:spacing w:after="0"/>
            </w:pPr>
            <w:r>
              <w:rPr>
                <w:b w:val="0"/>
                <w:sz w:val="19"/>
              </w:rPr>
              <w:t>Dauerhafter Betrieb zweier Systeme</w:t>
            </w:r>
          </w:p>
        </w:tc>
        <w:tc>
          <w:tcPr>
            <w:tcW w:type="dxa" w:w="3798"/>
          </w:tcPr>
          <w:p>
            <w:pPr>
              <w:spacing w:after="0"/>
            </w:pPr>
            <w:r>
              <w:rPr>
                <w:b w:val="0"/>
                <w:sz w:val="19"/>
              </w:rPr>
              <w:t>Es gibt kein Abschaltdatum für das Gutachtenprogramm. Die eingesetzte Datenbankversion MariaDB 10.4 erhält seit Juni 2024 keine Sicherheitsupdates mehr</w:t>
            </w:r>
          </w:p>
        </w:tc>
        <w:tc>
          <w:tcPr>
            <w:tcW w:type="dxa" w:w="3798"/>
          </w:tcPr>
          <w:p>
            <w:pPr>
              <w:spacing w:after="0"/>
            </w:pPr>
            <w:r>
              <w:rPr>
                <w:b w:val="0"/>
                <w:sz w:val="19"/>
              </w:rPr>
              <w:t>Feststellung, kein Gegenstand dieses Angebots. Ein Versionswechsel sollte unabhängig davon eingeplant werden</w:t>
            </w:r>
          </w:p>
        </w:tc>
      </w:tr>
      <w:tr>
        <w:tc>
          <w:tcPr>
            <w:tcW w:type="dxa" w:w="2041"/>
          </w:tcPr>
          <w:p>
            <w:pPr>
              <w:spacing w:after="0"/>
            </w:pPr>
            <w:r>
              <w:rPr>
                <w:b w:val="0"/>
                <w:sz w:val="19"/>
              </w:rPr>
              <w:t>Jahresrelease von Odoo</w:t>
            </w:r>
          </w:p>
        </w:tc>
        <w:tc>
          <w:tcPr>
            <w:tcW w:type="dxa" w:w="3798"/>
          </w:tcPr>
          <w:p>
            <w:pPr>
              <w:spacing w:after="0"/>
            </w:pPr>
            <w:r>
              <w:rPr>
                <w:b w:val="0"/>
                <w:sz w:val="19"/>
              </w:rPr>
              <w:t>Eigenmodule und Brücke müssen bei jedem Versionswechsel nachgezogen werden</w:t>
            </w:r>
          </w:p>
        </w:tc>
        <w:tc>
          <w:tcPr>
            <w:tcW w:type="dxa" w:w="3798"/>
          </w:tcPr>
          <w:p>
            <w:pPr>
              <w:spacing w:after="0"/>
            </w:pPr>
            <w:r>
              <w:rPr>
                <w:b w:val="0"/>
                <w:sz w:val="19"/>
              </w:rPr>
              <w:t>Option O13 Anwendungsbetreuung mit Versionspflege</w:t>
            </w:r>
          </w:p>
        </w:tc>
      </w:tr>
      <w:tr>
        <w:tc>
          <w:tcPr>
            <w:tcW w:type="dxa" w:w="2041"/>
          </w:tcPr>
          <w:p>
            <w:pPr>
              <w:spacing w:after="0"/>
            </w:pPr>
            <w:r>
              <w:rPr>
                <w:b w:val="0"/>
                <w:sz w:val="19"/>
              </w:rPr>
              <w:t>Verfügbarkeit der Fachbereiche</w:t>
            </w:r>
          </w:p>
        </w:tc>
        <w:tc>
          <w:tcPr>
            <w:tcW w:type="dxa" w:w="3798"/>
          </w:tcPr>
          <w:p>
            <w:pPr>
              <w:spacing w:after="0"/>
            </w:pPr>
            <w:r>
              <w:rPr>
                <w:b w:val="0"/>
                <w:sz w:val="19"/>
              </w:rPr>
              <w:t>Vier Personen tragen gleichzeitig den Betrieb. Bei Volllast mit 100 Anlagen je Woche ist der halbe Tag je Woche schwer zu halten</w:t>
            </w:r>
          </w:p>
        </w:tc>
        <w:tc>
          <w:tcPr>
            <w:tcW w:type="dxa" w:w="3798"/>
          </w:tcPr>
          <w:p>
            <w:pPr>
              <w:spacing w:after="0"/>
            </w:pPr>
            <w:r>
              <w:rPr>
                <w:b w:val="0"/>
                <w:sz w:val="19"/>
              </w:rPr>
              <w:t>Umstellungsstichtag außerhalb der Hochsaison, Meilensteine relativ zum Stichtag, Simulationsphase in eine ruhigere Periode legen</w:t>
            </w:r>
          </w:p>
        </w:tc>
      </w:tr>
      <w:tr>
        <w:tc>
          <w:tcPr>
            <w:tcW w:type="dxa" w:w="2041"/>
          </w:tcPr>
          <w:p>
            <w:pPr>
              <w:spacing w:after="0"/>
            </w:pPr>
            <w:r>
              <w:rPr>
                <w:b w:val="0"/>
                <w:sz w:val="19"/>
              </w:rPr>
              <w:t>Umstellungsstichtag</w:t>
            </w:r>
          </w:p>
        </w:tc>
        <w:tc>
          <w:tcPr>
            <w:tcW w:type="dxa" w:w="3798"/>
          </w:tcPr>
          <w:p>
            <w:pPr>
              <w:spacing w:after="0"/>
            </w:pPr>
            <w:r>
              <w:rPr>
                <w:b w:val="0"/>
                <w:sz w:val="19"/>
              </w:rPr>
              <w:t>Ein Stichtag mitten im Monat erschwert Saldenvortrag, Inventur und Umsatzsteuervoranmeldung</w:t>
            </w:r>
          </w:p>
        </w:tc>
        <w:tc>
          <w:tcPr>
            <w:tcW w:type="dxa" w:w="3798"/>
          </w:tcPr>
          <w:p>
            <w:pPr>
              <w:spacing w:after="0"/>
            </w:pPr>
            <w:r>
              <w:rPr>
                <w:b w:val="0"/>
                <w:sz w:val="19"/>
              </w:rPr>
              <w:t>Stichtag auf einen Monatsersten legen, Empfehlung 1. Januar oder 1. April</w:t>
            </w:r>
          </w:p>
        </w:tc>
      </w:tr>
      <w:tr>
        <w:tc>
          <w:tcPr>
            <w:tcW w:type="dxa" w:w="2041"/>
          </w:tcPr>
          <w:p>
            <w:pPr>
              <w:spacing w:after="0"/>
            </w:pPr>
            <w:r>
              <w:rPr>
                <w:b w:val="0"/>
                <w:sz w:val="19"/>
              </w:rPr>
              <w:t>Datenqualität</w:t>
            </w:r>
          </w:p>
        </w:tc>
        <w:tc>
          <w:tcPr>
            <w:tcW w:type="dxa" w:w="3798"/>
          </w:tcPr>
          <w:p>
            <w:pPr>
              <w:spacing w:after="0"/>
            </w:pPr>
            <w:r>
              <w:rPr>
                <w:b w:val="0"/>
                <w:sz w:val="19"/>
              </w:rPr>
              <w:t>Die vorliegenden Bestände enthalten Testdatensätze, Dubletten und Freitextfelder. Der Bereinigungsaufwand ist nicht exakt vorhersehbar</w:t>
            </w:r>
          </w:p>
        </w:tc>
        <w:tc>
          <w:tcPr>
            <w:tcW w:type="dxa" w:w="3798"/>
          </w:tcPr>
          <w:p>
            <w:pPr>
              <w:spacing w:after="0"/>
            </w:pPr>
            <w:r>
              <w:rPr>
                <w:b w:val="0"/>
                <w:sz w:val="19"/>
              </w:rPr>
              <w:t>Position 5.9 und Mitwirkung M12; Abweichungen werden vor der Ausführung angezeigt</w:t>
            </w:r>
          </w:p>
        </w:tc>
      </w:tr>
      <w:tr>
        <w:tc>
          <w:tcPr>
            <w:tcW w:type="dxa" w:w="2041"/>
          </w:tcPr>
          <w:p>
            <w:pPr>
              <w:spacing w:after="0"/>
            </w:pPr>
            <w:r>
              <w:rPr>
                <w:b w:val="0"/>
                <w:sz w:val="19"/>
              </w:rPr>
              <w:t>Interessentenbestand und DSGVO</w:t>
            </w:r>
          </w:p>
        </w:tc>
        <w:tc>
          <w:tcPr>
            <w:tcW w:type="dxa" w:w="3798"/>
          </w:tcPr>
          <w:p>
            <w:pPr>
              <w:spacing w:after="0"/>
            </w:pPr>
            <w:r>
              <w:rPr>
                <w:b w:val="0"/>
                <w:sz w:val="19"/>
              </w:rPr>
              <w:t>10.387 Adressen ohne dokumentierte Rechtsgrundlage</w:t>
            </w:r>
          </w:p>
        </w:tc>
        <w:tc>
          <w:tcPr>
            <w:tcW w:type="dxa" w:w="3798"/>
          </w:tcPr>
          <w:p>
            <w:pPr>
              <w:spacing w:after="0"/>
            </w:pPr>
            <w:r>
              <w:rPr>
                <w:b w:val="0"/>
                <w:sz w:val="19"/>
              </w:rPr>
              <w:t>Prüfung vor Option O1, Herkunfts- und Rechtsgrundlagenfeld je Datensatz</w:t>
            </w:r>
          </w:p>
        </w:tc>
      </w:tr>
    </w:tbl>
    <w:p>
      <w:pPr>
        <w:spacing w:before="280" w:after="0"/>
      </w:pPr>
      <w:r>
        <w:rPr>
          <w:rFonts w:ascii="Calibri" w:hAnsi="Calibri"/>
          <w:b/>
          <w:color w:val="7F7F7F"/>
          <w:sz w:val="15"/>
        </w:rPr>
        <w:t>WORAN DIE KALKULATION HÄNGT</w:t>
      </w:r>
    </w:p>
    <w:p>
      <w:pPr>
        <w:spacing w:before="40" w:after="120"/>
        <w:pBdr>
          <w:bottom w:val="single" w:sz="8" w:space="2" w:color="1F4E79"/>
        </w:pBdr>
      </w:pPr>
      <w:r>
        <w:rPr>
          <w:b/>
          <w:color w:val="1F4E79"/>
          <w:sz w:val="26"/>
        </w:rPr>
        <w:t>Annahmen und Voraussetzungen</w:t>
      </w:r>
    </w:p>
    <w:p>
      <w:pPr>
        <w:spacing w:before="20" w:after="20"/>
        <w:ind w:left="397"/>
      </w:pPr>
      <w:r>
        <w:t xml:space="preserve">– </w:t>
      </w:r>
      <w:r>
        <w:rPr>
          <w:b/>
        </w:rPr>
        <w:t>Betriebsmodell als Vorfrage:</w:t>
      </w:r>
      <w:r>
        <w:rPr>
          <w:b w:val="0"/>
        </w:rPr>
        <w:t xml:space="preserve"> Odoo.sh oder Betrieb auf eigener beziehungsweise dedizierter Infrastruktur ist technische Voraussetzung der Positionen 3.1 bis 3.5 und 4.1. Auf Odoo Online sind eigene Module nicht ausführbar; in diesem Fall ändern sich Umfang, Aufwand und die bilanzielle Beurteilung. Diese Entscheidung sollte vor der Beauftragung fallen.</w:t>
      </w:r>
    </w:p>
    <w:p>
      <w:pPr>
        <w:spacing w:before="20" w:after="20"/>
        <w:ind w:left="397"/>
      </w:pPr>
      <w:r>
        <w:t xml:space="preserve">– </w:t>
      </w:r>
      <w:r>
        <w:rPr>
          <w:b w:val="0"/>
        </w:rPr>
        <w:t>Die drei Standorte werden als eine Gesellschaft mit analytischer Trennung abgebildet, nicht als getrennte Mandanten.</w:t>
      </w:r>
    </w:p>
    <w:p>
      <w:pPr>
        <w:spacing w:before="20" w:after="20"/>
        <w:ind w:left="397"/>
      </w:pPr>
      <w:r>
        <w:t xml:space="preserve">– </w:t>
      </w:r>
      <w:r>
        <w:rPr>
          <w:b w:val="0"/>
        </w:rPr>
        <w:t>Die Buchführung bleibt bei biotec; der Steuerberater erhält einen DATEV-Export. Die Übermittlung der Umsatzsteuervoranmeldung an ELSTER erfolgt außerhalb von Odoo.</w:t>
      </w:r>
    </w:p>
    <w:p>
      <w:pPr>
        <w:spacing w:before="20" w:after="20"/>
        <w:ind w:left="397"/>
      </w:pPr>
      <w:r>
        <w:t xml:space="preserve">– </w:t>
      </w:r>
      <w:r>
        <w:rPr>
          <w:b w:val="0"/>
        </w:rPr>
        <w:t>Das Gutachtenlayout bleibt unverändert und wird nicht in Odoo nachgebaut.</w:t>
      </w:r>
    </w:p>
    <w:p>
      <w:pPr>
        <w:spacing w:before="20" w:after="20"/>
        <w:ind w:left="397"/>
      </w:pPr>
      <w:r>
        <w:t xml:space="preserve">– </w:t>
      </w:r>
      <w:r>
        <w:rPr>
          <w:b w:val="0"/>
        </w:rPr>
        <w:t>Die Prüflisten nach VDI 6022 bleiben im bestehenden System.</w:t>
      </w:r>
    </w:p>
    <w:p>
      <w:pPr>
        <w:spacing w:before="20" w:after="20"/>
        <w:ind w:left="397"/>
      </w:pPr>
      <w:r>
        <w:t xml:space="preserve">– </w:t>
      </w:r>
      <w:r>
        <w:rPr>
          <w:b w:val="0"/>
        </w:rPr>
        <w:t>Der Kundenstamm wird neu aufgebaut, nicht eins zu eins übernommen. Die vorliegende Liste ist eine Kontaktliste ohne Kundennummern und Konditionen.</w:t>
      </w:r>
    </w:p>
    <w:p>
      <w:pPr>
        <w:spacing w:before="20" w:after="20"/>
        <w:ind w:left="397"/>
      </w:pPr>
      <w:r>
        <w:t xml:space="preserve">– </w:t>
      </w:r>
      <w:r>
        <w:rPr>
          <w:b w:val="0"/>
        </w:rPr>
        <w:t>Lagerbestände werden zum Stichtag gezählt und nicht aus dem Altsystem übernommen.</w:t>
      </w:r>
    </w:p>
    <w:p>
      <w:pPr>
        <w:spacing w:before="20" w:after="20"/>
        <w:ind w:left="397"/>
      </w:pPr>
      <w:r>
        <w:t xml:space="preserve">– </w:t>
      </w:r>
      <w:r>
        <w:rPr>
          <w:b w:val="0"/>
        </w:rPr>
        <w:t>Die umsatzsteuerliche Behandlung der VDI-Schulungen ist zu klären. Kalkuliert ist die Regelbesteuerung; eine Steuerbefreiung nach § 4 UStG würde Erlöskonten und Belegtexte verändern.</w:t>
      </w:r>
    </w:p>
    <w:p>
      <w:pPr>
        <w:spacing w:before="20" w:after="20"/>
        <w:ind w:left="397"/>
      </w:pPr>
      <w:r>
        <w:t xml:space="preserve">– </w:t>
      </w:r>
      <w:r>
        <w:rPr>
          <w:b w:val="0"/>
        </w:rPr>
        <w:t>Zeitaufnahmen der heutigen Abläufe liegen nicht vor. Die Aufwände beruhen auf der Auswertung der gelieferten Daten und auf Erfahrungswerten.</w:t>
      </w:r>
    </w:p>
    <w:p>
      <w:pPr>
        <w:spacing w:before="20" w:after="20"/>
        <w:ind w:left="397"/>
      </w:pPr>
      <w:r>
        <w:t xml:space="preserve">– </w:t>
      </w:r>
      <w:r>
        <w:rPr>
          <w:b/>
        </w:rPr>
        <w:t>Bilanzielle Beurteilung:</w:t>
      </w:r>
      <w:r>
        <w:rPr>
          <w:b w:val="0"/>
        </w:rPr>
        <w:t xml:space="preserve"> Die Behandlung im HGB-Einzelabschluss und im IFRS-Konzernabschluss der Gruppe können voneinander abweichen. Bei Betrieb als reine Mietlösung ist im IFRS-Abschluss überwiegend Aufwand zu erwarten. Dieses Angebot liefert die Grundlage für beide Beurteilungen; die Beurteilung selbst trifft biotec mit Steuerberater und Wirtschaftsprüfer.</w:t>
      </w:r>
    </w:p>
    <w:p>
      <w:pPr>
        <w:spacing w:before="20" w:after="20"/>
        <w:ind w:left="397"/>
      </w:pPr>
      <w:r>
        <w:t xml:space="preserve">– </w:t>
      </w:r>
      <w:r>
        <w:rPr>
          <w:b/>
        </w:rPr>
        <w:t>Gesellschafterverhältnisse:</w:t>
      </w:r>
      <w:r>
        <w:rPr>
          <w:b w:val="0"/>
        </w:rPr>
        <w:t xml:space="preserve"> Die CertoClav Sterilizer GmbH steht im Eigentum von Michael Simon und Moritz Gruber. Moritz Gruber ist zugleich in der Certania-Gruppe tätig. Wir legen das offen, damit die Beauftragung als Geschäft mit nahestehenden Personen behandelt und der Fremdvergleich geführt werden kann.</w:t>
      </w:r>
    </w:p>
    <w:p>
      <w:pPr>
        <w:spacing w:before="280" w:after="0"/>
      </w:pPr>
      <w:r>
        <w:rPr>
          <w:rFonts w:ascii="Calibri" w:hAnsi="Calibri"/>
          <w:b/>
          <w:color w:val="7F7F7F"/>
          <w:sz w:val="15"/>
        </w:rPr>
        <w:t>KLARSTELLUNG</w:t>
      </w:r>
    </w:p>
    <w:p>
      <w:pPr>
        <w:spacing w:before="40" w:after="120"/>
        <w:pBdr>
          <w:bottom w:val="single" w:sz="8" w:space="2" w:color="1F4E79"/>
        </w:pBdr>
      </w:pPr>
      <w:r>
        <w:rPr>
          <w:b/>
          <w:color w:val="1F4E79"/>
          <w:sz w:val="26"/>
        </w:rPr>
        <w:t>Nicht enthalten</w:t>
      </w:r>
    </w:p>
    <w:p>
      <w:pPr>
        <w:spacing w:before="20" w:after="20"/>
        <w:ind w:left="397"/>
      </w:pPr>
      <w:r>
        <w:t xml:space="preserve">– </w:t>
      </w:r>
      <w:r>
        <w:rPr>
          <w:b w:val="0"/>
        </w:rPr>
        <w:t>Lizenz-, Hosting- und Betriebskosten für Odoo sowie Hardware</w:t>
      </w:r>
    </w:p>
    <w:p>
      <w:pPr>
        <w:spacing w:before="20" w:after="20"/>
        <w:ind w:left="397"/>
      </w:pPr>
      <w:r>
        <w:t xml:space="preserve">– </w:t>
      </w:r>
      <w:r>
        <w:rPr>
          <w:b w:val="0"/>
        </w:rPr>
        <w:t>Änderungen am Programmcode der Gutachtenanwendung. Die Abschaltung der Erfassungsmasken und ein etwaiger Rückmeldekanal auf Seiten des Altsystems erbringt Westbomke EDV auf eigenen Auftrag von biotec – ersatzweise Option O7</w:t>
      </w:r>
    </w:p>
    <w:p>
      <w:pPr>
        <w:spacing w:before="20" w:after="20"/>
        <w:ind w:left="397"/>
      </w:pPr>
      <w:r>
        <w:t xml:space="preserve">– </w:t>
      </w:r>
      <w:r>
        <w:rPr>
          <w:b w:val="0"/>
        </w:rPr>
        <w:t>Abbildung der Prüflisten, der Labormasken oder der Gutachtenerzeugung in Odoo</w:t>
      </w:r>
    </w:p>
    <w:p>
      <w:pPr>
        <w:spacing w:before="20" w:after="20"/>
        <w:ind w:left="397"/>
      </w:pPr>
      <w:r>
        <w:t xml:space="preserve">– </w:t>
      </w:r>
      <w:r>
        <w:rPr>
          <w:b/>
        </w:rPr>
        <w:t>Fotodokumentation und Prüflistenerfassung vor Ort.</w:t>
      </w:r>
      <w:r>
        <w:rPr>
          <w:b w:val="0"/>
        </w:rPr>
        <w:t xml:space="preserve"> Odoo bietet keine Offline-Erfassung; eine mobile Erfassung in Technikzentralen ohne Netzabdeckung ist nicht Gegenstand dieses Angebots</w:t>
      </w:r>
    </w:p>
    <w:p>
      <w:pPr>
        <w:spacing w:before="20" w:after="20"/>
        <w:ind w:left="397"/>
      </w:pPr>
      <w:r>
        <w:t xml:space="preserve">– </w:t>
      </w:r>
      <w:r>
        <w:rPr>
          <w:b/>
        </w:rPr>
        <w:t>Umsatzrealisierung nach Fertigstellungsgrad (POC), WIP-Bewertung, Cost-to-Complete und automatische Abgrenzung von Fremdleistungen.</w:t>
      </w:r>
      <w:r>
        <w:rPr>
          <w:b w:val="0"/>
        </w:rPr>
        <w:t xml:space="preserve"> Odoo bietet dafür keine Standardfunktion; die vorhandene Rechnungsabgrenzung ist zeit- und nicht fortschrittsbasiert. Adressierbar über die Optionen O5a und O5b</w:t>
      </w:r>
    </w:p>
    <w:p>
      <w:pPr>
        <w:spacing w:before="20" w:after="20"/>
        <w:ind w:left="397"/>
      </w:pPr>
      <w:r>
        <w:t xml:space="preserve">– </w:t>
      </w:r>
      <w:r>
        <w:rPr>
          <w:b w:val="0"/>
        </w:rPr>
        <w:t>Webshop und Online-Buchung der Seminare – Option O6</w:t>
      </w:r>
    </w:p>
    <w:p>
      <w:pPr>
        <w:spacing w:before="20" w:after="20"/>
        <w:ind w:left="397"/>
      </w:pPr>
      <w:r>
        <w:t xml:space="preserve">– </w:t>
      </w:r>
      <w:r>
        <w:rPr>
          <w:b w:val="0"/>
        </w:rPr>
        <w:t>Fertigung und Stücklisten über die vorhandene geringe Eigenproduktion hinaus</w:t>
      </w:r>
    </w:p>
    <w:p>
      <w:pPr>
        <w:spacing w:before="20" w:after="20"/>
        <w:ind w:left="397"/>
      </w:pPr>
      <w:r>
        <w:t xml:space="preserve">– </w:t>
      </w:r>
      <w:r>
        <w:rPr>
          <w:b w:val="0"/>
        </w:rPr>
        <w:t>Anwendungsbetreuung nach Abschluss der Betreuungsphase – Option O13</w:t>
      </w:r>
    </w:p>
    <w:p>
      <w:pPr>
        <w:spacing w:before="20" w:after="20"/>
        <w:ind w:left="397"/>
      </w:pPr>
      <w:r>
        <w:t xml:space="preserve">– </w:t>
      </w:r>
      <w:r>
        <w:rPr>
          <w:b w:val="0"/>
        </w:rPr>
        <w:t>Steuerliche, bilanzielle und rechtliche Beratung</w:t>
      </w:r>
    </w:p>
    <w:p>
      <w:pPr>
        <w:spacing w:before="280" w:after="0"/>
      </w:pPr>
      <w:r>
        <w:rPr>
          <w:rFonts w:ascii="Calibri" w:hAnsi="Calibri"/>
          <w:b/>
          <w:color w:val="7F7F7F"/>
          <w:sz w:val="15"/>
        </w:rPr>
        <w:t>KURZFASSUNG</w:t>
      </w:r>
    </w:p>
    <w:p>
      <w:pPr>
        <w:spacing w:before="40" w:after="120"/>
        <w:pBdr>
          <w:bottom w:val="single" w:sz="8" w:space="2" w:color="1F4E79"/>
        </w:pBdr>
      </w:pPr>
      <w:r>
        <w:rPr>
          <w:b/>
          <w:color w:val="1F4E79"/>
          <w:sz w:val="26"/>
        </w:rPr>
        <w:t>Vertragliche Rahmenbedingungen</w:t>
      </w:r>
    </w:p>
    <w:p>
      <w:pPr>
        <w:spacing w:before="20" w:after="20"/>
        <w:ind w:left="397"/>
      </w:pPr>
      <w:r>
        <w:t xml:space="preserve">– </w:t>
      </w:r>
      <w:r>
        <w:rPr>
          <w:b w:val="0"/>
        </w:rPr>
        <w:t xml:space="preserve">Abgerechnet wird nach Leistungsfortschritt je Arbeitspaket. Jeder Rechnung liegt ein Leistungsnachweis mit Leistungsbeschreibung </w:t>
      </w:r>
      <w:r>
        <w:rPr>
          <w:b/>
        </w:rPr>
        <w:t>und Zeitaufstellung je Arbeitspaket</w:t>
      </w:r>
      <w:r>
        <w:rPr>
          <w:b w:val="0"/>
        </w:rPr>
        <w:t xml:space="preserve"> bei – das ist die Grundlage für die Zuordnung der Herstellungskosten.</w:t>
      </w:r>
    </w:p>
    <w:p>
      <w:pPr>
        <w:spacing w:before="20" w:after="20"/>
        <w:ind w:left="397"/>
      </w:pPr>
      <w:r>
        <w:t xml:space="preserve">– </w:t>
      </w:r>
      <w:r>
        <w:rPr>
          <w:b w:val="0"/>
        </w:rPr>
        <w:t>Rechnungsstellung monatlich, Zahlungsziel 21 Tage netto.</w:t>
      </w:r>
    </w:p>
    <w:p>
      <w:pPr>
        <w:spacing w:before="20" w:after="20"/>
        <w:ind w:left="397"/>
      </w:pPr>
      <w:r>
        <w:t xml:space="preserve">– </w:t>
      </w:r>
      <w:r>
        <w:rPr>
          <w:b w:val="0"/>
        </w:rPr>
        <w:t>Abweichungen von mehr als zehn Prozent je Arbeitspaket werden vor der Ausführung angezeigt und schriftlich freigegeben. Die genannten Beträge sind die kalkulierte Grundlage, kein Festpreis.</w:t>
      </w:r>
    </w:p>
    <w:p>
      <w:pPr>
        <w:spacing w:before="20" w:after="20"/>
        <w:ind w:left="397"/>
      </w:pPr>
      <w:r>
        <w:t xml:space="preserve">– </w:t>
      </w:r>
      <w:r>
        <w:rPr>
          <w:b w:val="0"/>
        </w:rPr>
        <w:t>Gewährleistung: sechs Monate ab Betriebsbereitschaft auf die vereinbarte Funktionsfähigkeit der Arbeitsergebnisse. Mängel werden nachgebessert.</w:t>
      </w:r>
    </w:p>
    <w:p>
      <w:pPr>
        <w:spacing w:before="20" w:after="20"/>
        <w:ind w:left="397"/>
      </w:pPr>
      <w:r>
        <w:t xml:space="preserve">– </w:t>
      </w:r>
      <w:r>
        <w:rPr>
          <w:b w:val="0"/>
        </w:rPr>
        <w:t>Haftung: für Vorsatz und grobe Fahrlässigkeit unbeschränkt; im Übrigen begrenzt auf die Höhe des Auftragswerts. Keine Haftung für Datenverlust, soweit biotec die vereinbarte Datensicherung nicht vorhält.</w:t>
      </w:r>
    </w:p>
    <w:p>
      <w:pPr>
        <w:spacing w:before="20" w:after="20"/>
        <w:ind w:left="397"/>
      </w:pPr>
      <w:r>
        <w:t xml:space="preserve">– </w:t>
      </w:r>
      <w:r>
        <w:rPr>
          <w:b w:val="0"/>
        </w:rPr>
        <w:t>Nutzungsrechte an den Arbeitsergebnissen wie im Abschnitt Arbeitsergebnisse beschrieben. Vorbestehende Werkzeuge und Bibliotheken von CertoClav bleiben deren Eigentum; biotec erhält daran ein einfaches Nutzungsrecht für den Betrieb.</w:t>
      </w:r>
    </w:p>
    <w:p>
      <w:pPr>
        <w:spacing w:before="20" w:after="20"/>
        <w:ind w:left="397"/>
      </w:pPr>
      <w:r>
        <w:t xml:space="preserve">– </w:t>
      </w:r>
      <w:r>
        <w:rPr>
          <w:b w:val="0"/>
        </w:rPr>
        <w:t>Verzögert sich eine Mitwirkungsleistung nach dem Abschnitt Mitwirkung, verschieben sich die davon abhängigen Termine entsprechend; Wartezeiten werden nach Aufwand abgerechnet.</w:t>
      </w:r>
    </w:p>
    <w:p>
      <w:pPr>
        <w:spacing w:before="20" w:after="20"/>
        <w:ind w:left="397"/>
      </w:pPr>
      <w:r>
        <w:t xml:space="preserve">– </w:t>
      </w:r>
      <w:r>
        <w:rPr>
          <w:b w:val="0"/>
        </w:rPr>
        <w:t>Reisekosten nach Aufwand, vorab abgestimmt.</w:t>
      </w:r>
    </w:p>
    <w:p>
      <w:pPr>
        <w:spacing w:before="20" w:after="20"/>
        <w:ind w:left="397"/>
      </w:pPr>
      <w:r>
        <w:t xml:space="preserve">– </w:t>
      </w:r>
      <w:r>
        <w:rPr>
          <w:b w:val="0"/>
        </w:rPr>
        <w:t>Beide Seiten können den Auftrag mit vier Wochen Frist zum Ende eines Arbeitspakets kündigen. Erbrachte Leistungen werden abgerechnet, Arbeitsergebnisse und Dokumentation übergeben.</w:t>
      </w:r>
    </w:p>
    <w:p>
      <w:pPr>
        <w:spacing w:before="20" w:after="20"/>
        <w:ind w:left="397"/>
      </w:pPr>
      <w:r>
        <w:t xml:space="preserve">– </w:t>
      </w:r>
      <w:r>
        <w:rPr>
          <w:b w:val="0"/>
        </w:rPr>
        <w:t>Es gilt deutsches Recht, Gerichtsstand Gütersloh. Vertraulichkeit und Datenverarbeitung richten sich nach NDA-2026-001 und AVV-2026-001.</w:t>
      </w:r>
    </w:p>
    <w:p>
      <w:pPr>
        <w:spacing w:before="280" w:after="0"/>
      </w:pPr>
      <w:r>
        <w:rPr>
          <w:rFonts w:ascii="Calibri" w:hAnsi="Calibri"/>
          <w:b/>
          <w:color w:val="7F7F7F"/>
          <w:sz w:val="15"/>
        </w:rPr>
        <w:t>NICHT TEIL DES ANGEBOTS</w:t>
      </w:r>
    </w:p>
    <w:p>
      <w:pPr>
        <w:spacing w:before="40" w:after="120"/>
        <w:pBdr>
          <w:bottom w:val="single" w:sz="8" w:space="2" w:color="1F4E79"/>
        </w:pBdr>
      </w:pPr>
      <w:r>
        <w:rPr>
          <w:b/>
          <w:color w:val="1F4E79"/>
          <w:sz w:val="26"/>
        </w:rPr>
        <w:t>Anhang: Lizenzbedarf, informativ</w:t>
      </w:r>
    </w:p>
    <w:p>
      <w:pPr>
        <w:spacing w:after="240"/>
      </w:pPr>
      <w:r>
        <w:rPr>
          <w:b w:val="0"/>
          <w:i w:val="0"/>
          <w:sz w:val="20"/>
        </w:rPr>
        <w:t>Zur Einordnung der Gesamtkosten, ohne Anspruch auf Genauigkeit: Im Altsystem bestehen 17 Benutzerkonten, davon zwei geteilte Laborkonten und zwei Praktikantenkonten. Für Odoo ist von etwa 12 bis 15 benannten Nutzern auszugehen. Wegen der eigenen Module ist die Enterprise-Edition mit einem Betriebsmodell erforderlich, das eigene Module zulässt. Lizenzpreise bezieht biotec direkt bei Odoo; wir beraten bei der Auswahl, verdienen daran nicht.</w:t>
      </w:r>
    </w:p>
    <w:p>
      <w:pPr>
        <w:spacing w:before="280" w:after="120"/>
        <w:pBdr>
          <w:bottom w:val="single" w:sz="8" w:space="2" w:color="1F4E79"/>
        </w:pBdr>
      </w:pPr>
      <w:r>
        <w:rPr>
          <w:b/>
          <w:color w:val="1F4E79"/>
          <w:sz w:val="26"/>
        </w:rPr>
        <w:t>Nächster Schritt</w:t>
      </w:r>
    </w:p>
    <w:p>
      <w:pPr>
        <w:spacing w:after="120"/>
      </w:pPr>
      <w:r>
        <w:rPr>
          <w:b w:val="0"/>
          <w:i w:val="0"/>
          <w:sz w:val="20"/>
        </w:rPr>
        <w:t>Wir schlagen vor, dieses Angebot in einem Termin gemeinsam durchzugehen, den Zuschnitt in Phasen zu entscheiden und die Punkte unter Mitwirkung zu terminieren. Vorab zu klären sind das Betriebsmodell von Odoo (M14) und der Auftrag an Westbomke EDV (M11).</w:t>
      </w:r>
    </w:p>
    <w:p>
      <w:pPr>
        <w:spacing w:after="360"/>
      </w:pPr>
      <w:r>
        <w:rPr>
          <w:b w:val="0"/>
          <w:i w:val="0"/>
          <w:sz w:val="20"/>
        </w:rPr>
        <w:t>Ergänzend stellen wir eine Betrachtung der freiwerdenden Personalkapazität und des Einsparpotenzials zur Verfügung – als eigenes Dokument, damit Kosten und Nutzen getrennt beurteilt werden können.</w:t>
      </w:r>
    </w:p>
    <w:tbl>
      <w:tblPr>
        <w:tblStyle w:val="TableGrid"/>
        <w:tblW w:type="auto" w:w="0"/>
        <w:jc w:val="left"/>
        <w:tblLook w:firstColumn="1" w:firstRow="1" w:lastColumn="0" w:lastRow="0" w:noHBand="0" w:noVBand="1" w:val="04A0"/>
      </w:tblPr>
      <w:tblGrid>
        <w:gridCol w:w="4819"/>
        <w:gridCol w:w="4819"/>
      </w:tblGrid>
      <w:tr>
        <w:tc>
          <w:tcPr>
            <w:tcW w:type="dxa" w:w="4819"/>
            <w:shd w:val="clear" w:fill="1F4E79"/>
          </w:tcPr>
          <w:p>
            <w:pPr>
              <w:spacing w:after="0"/>
            </w:pPr>
            <w:r>
              <w:rPr>
                <w:b/>
                <w:color w:val="FFFFFF"/>
                <w:sz w:val="19"/>
              </w:rPr>
              <w:t>biotec GmbH</w:t>
            </w:r>
          </w:p>
        </w:tc>
        <w:tc>
          <w:tcPr>
            <w:tcW w:type="dxa" w:w="4819"/>
            <w:shd w:val="clear" w:fill="1F4E79"/>
          </w:tcPr>
          <w:p>
            <w:pPr>
              <w:spacing w:after="0"/>
            </w:pPr>
            <w:r>
              <w:rPr>
                <w:b/>
                <w:color w:val="FFFFFF"/>
                <w:sz w:val="19"/>
              </w:rPr>
              <w:t>CertoClav Sterilizer GmbH</w:t>
            </w:r>
          </w:p>
        </w:tc>
      </w:tr>
      <w:tr>
        <w:tc>
          <w:tcPr>
            <w:tcW w:type="dxa" w:w="4819"/>
          </w:tcPr>
          <w:p>
            <w:pPr>
              <w:spacing w:after="0"/>
            </w:pPr>
            <w:r>
              <w:rPr>
                <w:b w:val="0"/>
                <w:sz w:val="19"/>
              </w:rPr>
              <w:br/>
              <w:br/>
              <w:t>Ort, Datum</w:t>
              <w:br/>
              <w:br/>
              <w:br/>
              <w:br/>
              <w:br/>
              <w:t>________________________________</w:t>
              <w:br/>
              <w:t>Dr. Thomas Wilke</w:t>
              <w:br/>
              <w:t>Geschäftsführer</w:t>
            </w:r>
          </w:p>
        </w:tc>
        <w:tc>
          <w:tcPr>
            <w:tcW w:type="dxa" w:w="4819"/>
          </w:tcPr>
          <w:p>
            <w:pPr>
              <w:spacing w:after="0"/>
            </w:pPr>
            <w:r>
              <w:rPr>
                <w:b w:val="0"/>
                <w:sz w:val="19"/>
              </w:rPr>
              <w:br/>
              <w:br/>
              <w:t>Ort, Datum</w:t>
              <w:br/>
              <w:br/>
              <w:br/>
              <w:br/>
              <w:br/>
              <w:t>________________________________</w:t>
              <w:br/>
              <w:t>Michael Simon (geb. Dirix), MSc.</w:t>
              <w:br/>
              <w:t>Geschäftsführer</w:t>
            </w:r>
          </w:p>
        </w:tc>
      </w:tr>
    </w:tbl>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Angebot Odoo-Einführung  ·  Dok.-Nr. ANG-2026-001  ·  Version 2, Stand 01.09.2026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