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4E79"/>
          <w:sz w:val="44"/>
        </w:rPr>
        <w:t>Angebot: Einführung von Odoo</w:t>
      </w:r>
    </w:p>
    <w:p>
      <w:pPr>
        <w:spacing w:after="280"/>
      </w:pPr>
      <w:r>
        <w:rPr>
          <w:color w:val="7F7F7F"/>
          <w:sz w:val="22"/>
        </w:rPr>
        <w:t>biotec GmbH  ·  Version 1, Stand 01.09.2026</w:t>
      </w:r>
    </w:p>
    <w:tbl>
      <w:tblPr>
        <w:tblStyle w:val="TableGrid"/>
        <w:tblW w:type="auto" w:w="0"/>
        <w:jc w:val="left"/>
        <w:tblLook w:firstColumn="1" w:firstRow="1" w:lastColumn="0" w:lastRow="0" w:noHBand="0" w:noVBand="1" w:val="04A0"/>
      </w:tblPr>
      <w:tblGrid>
        <w:gridCol w:w="4819"/>
        <w:gridCol w:w="4819"/>
      </w:tblGrid>
      <w:tr>
        <w:tc>
          <w:tcPr>
            <w:tcW w:type="dxa" w:w="2608"/>
            <w:shd w:val="clear" w:fill="1F4E79"/>
          </w:tcPr>
          <w:p>
            <w:pPr>
              <w:spacing w:after="0"/>
            </w:pPr>
            <w:r>
              <w:rPr>
                <w:b/>
                <w:color w:val="FFFFFF"/>
                <w:sz w:val="19"/>
              </w:rPr>
            </w:r>
          </w:p>
        </w:tc>
        <w:tc>
          <w:tcPr>
            <w:tcW w:type="dxa" w:w="7030"/>
            <w:shd w:val="clear" w:fill="1F4E79"/>
          </w:tcPr>
          <w:p>
            <w:pPr>
              <w:spacing w:after="0"/>
            </w:pPr>
            <w:r>
              <w:rPr>
                <w:b/>
                <w:color w:val="FFFFFF"/>
                <w:sz w:val="19"/>
              </w:rPr>
              <w:t>Angaben</w:t>
            </w:r>
          </w:p>
        </w:tc>
      </w:tr>
      <w:tr>
        <w:tc>
          <w:tcPr>
            <w:tcW w:type="dxa" w:w="2608"/>
          </w:tcPr>
          <w:p>
            <w:pPr>
              <w:spacing w:after="0"/>
            </w:pPr>
            <w:r>
              <w:rPr>
                <w:b w:val="0"/>
                <w:sz w:val="19"/>
              </w:rPr>
              <w:t>Angebot für</w:t>
            </w:r>
          </w:p>
        </w:tc>
        <w:tc>
          <w:tcPr>
            <w:tcW w:type="dxa" w:w="7030"/>
          </w:tcPr>
          <w:p>
            <w:pPr>
              <w:spacing w:after="0"/>
            </w:pPr>
            <w:r>
              <w:rPr>
                <w:b w:val="0"/>
                <w:sz w:val="19"/>
              </w:rPr>
              <w:t>biotec GmbH, Umwelt-Analytik-Beratung-Service</w:t>
              <w:br/>
              <w:t>Elbrachtsweg 76, 33332 Gütersloh</w:t>
              <w:br/>
              <w:t>z. Hd. Herrn Dr. Thomas Wilke, Geschäftsführer</w:t>
            </w:r>
          </w:p>
        </w:tc>
      </w:tr>
      <w:tr>
        <w:tc>
          <w:tcPr>
            <w:tcW w:type="dxa" w:w="2608"/>
          </w:tcPr>
          <w:p>
            <w:pPr>
              <w:spacing w:after="0"/>
            </w:pPr>
            <w:r>
              <w:rPr>
                <w:b w:val="0"/>
                <w:sz w:val="19"/>
              </w:rPr>
              <w:t>Ansprechpartner biotec</w:t>
            </w:r>
          </w:p>
        </w:tc>
        <w:tc>
          <w:tcPr>
            <w:tcW w:type="dxa" w:w="7030"/>
          </w:tcPr>
          <w:p>
            <w:pPr>
              <w:spacing w:after="0"/>
            </w:pPr>
            <w:r>
              <w:rPr>
                <w:b w:val="0"/>
                <w:sz w:val="19"/>
              </w:rPr>
              <w:t>Michael Brand, Projektleitung Hygieneinspektion (fachlich und technisch)</w:t>
              <w:br/>
              <w:t>Nicole Krupa (kaufmännisch und organisatorisch)</w:t>
            </w:r>
          </w:p>
        </w:tc>
      </w:tr>
      <w:tr>
        <w:tc>
          <w:tcPr>
            <w:tcW w:type="dxa" w:w="2608"/>
          </w:tcPr>
          <w:p>
            <w:pPr>
              <w:spacing w:after="0"/>
            </w:pPr>
            <w:r>
              <w:rPr>
                <w:b w:val="0"/>
                <w:sz w:val="19"/>
              </w:rPr>
              <w:t>Angebot von</w:t>
            </w:r>
          </w:p>
        </w:tc>
        <w:tc>
          <w:tcPr>
            <w:tcW w:type="dxa" w:w="7030"/>
          </w:tcPr>
          <w:p>
            <w:pPr>
              <w:spacing w:after="0"/>
            </w:pPr>
            <w:r>
              <w:rPr>
                <w:b w:val="0"/>
                <w:sz w:val="19"/>
              </w:rPr>
              <w:t>CertoClav Sterilizer GmbH</w:t>
              <w:br/>
              <w:t>Peintner Straße 10, 4060 Leonding, Österreich</w:t>
              <w:br/>
              <w:t>Michael Simon (geb. Dirix), MSc., Geschäftsführer</w:t>
              <w:br/>
              <w:t>michael.simon@certoclav.com</w:t>
            </w:r>
          </w:p>
        </w:tc>
      </w:tr>
      <w:tr>
        <w:tc>
          <w:tcPr>
            <w:tcW w:type="dxa" w:w="2608"/>
          </w:tcPr>
          <w:p>
            <w:pPr>
              <w:spacing w:after="0"/>
            </w:pPr>
            <w:r>
              <w:rPr>
                <w:b w:val="0"/>
                <w:sz w:val="19"/>
              </w:rPr>
              <w:t>Dokument</w:t>
            </w:r>
          </w:p>
        </w:tc>
        <w:tc>
          <w:tcPr>
            <w:tcW w:type="dxa" w:w="7030"/>
          </w:tcPr>
          <w:p>
            <w:pPr>
              <w:spacing w:after="0"/>
            </w:pPr>
            <w:r>
              <w:rPr>
                <w:b w:val="0"/>
                <w:sz w:val="19"/>
              </w:rPr>
              <w:t>ANG-2026-001  ·  Version 1, Stand 01.09.2026</w:t>
            </w:r>
          </w:p>
        </w:tc>
      </w:tr>
      <w:tr>
        <w:tc>
          <w:tcPr>
            <w:tcW w:type="dxa" w:w="2608"/>
          </w:tcPr>
          <w:p>
            <w:pPr>
              <w:spacing w:after="0"/>
            </w:pPr>
            <w:r>
              <w:rPr>
                <w:b w:val="0"/>
                <w:sz w:val="19"/>
              </w:rPr>
              <w:t>Gültigkeit</w:t>
            </w:r>
          </w:p>
        </w:tc>
        <w:tc>
          <w:tcPr>
            <w:tcW w:type="dxa" w:w="7030"/>
          </w:tcPr>
          <w:p>
            <w:pPr>
              <w:spacing w:after="0"/>
            </w:pPr>
            <w:r>
              <w:rPr>
                <w:b w:val="0"/>
                <w:sz w:val="19"/>
              </w:rPr>
              <w:t>60 Tage ab Ausstellungsdatum</w:t>
            </w:r>
          </w:p>
        </w:tc>
      </w:tr>
    </w:tbl>
    <w:p/>
    <w:p>
      <w:pPr>
        <w:spacing w:before="280" w:after="0"/>
      </w:pPr>
      <w:r>
        <w:rPr>
          <w:rFonts w:ascii="Calibri" w:hAnsi="Calibri"/>
          <w:b/>
          <w:color w:val="7F7F7F"/>
          <w:sz w:val="15"/>
        </w:rPr>
        <w:t>WORUM ES GEHT</w:t>
      </w:r>
    </w:p>
    <w:p>
      <w:pPr>
        <w:spacing w:before="40" w:after="120"/>
        <w:pBdr>
          <w:bottom w:val="single" w:sz="8" w:space="2" w:color="1F4E79"/>
        </w:pBdr>
      </w:pPr>
      <w:r>
        <w:rPr>
          <w:b/>
          <w:color w:val="1F4E79"/>
          <w:sz w:val="26"/>
        </w:rPr>
        <w:t>Ausgangslage</w:t>
      </w:r>
    </w:p>
    <w:p>
      <w:pPr>
        <w:spacing w:after="120"/>
      </w:pPr>
      <w:r>
        <w:rPr>
          <w:b w:val="0"/>
          <w:i w:val="0"/>
          <w:sz w:val="20"/>
        </w:rPr>
        <w:t>biotec arbeitet an drei Standorten – Gütersloh mit Labor und Verwaltung, München mit den Hygienekontrollen und dem Technologiepark Mittweida für die Analytik von Boden und Wasser. Die kaufmännischen Abläufe laufen heute außerhalb eines Systems: Rechnungen, Buchhaltung, Artikel und Lager, Zeiterfassung und das gesamte Schulungsgeschäft werden von Hand geführt.</w:t>
      </w:r>
    </w:p>
    <w:p>
      <w:pPr>
        <w:spacing w:after="120"/>
      </w:pPr>
      <w:r>
        <w:rPr>
          <w:b w:val="0"/>
          <w:i w:val="0"/>
          <w:sz w:val="20"/>
        </w:rPr>
        <w:t>Die fachliche Arbeit trägt eine über Jahre gewachsene Eigenentwicklung. Wir haben Quellcode und Datenbestand ausgewertet: 255 Programmeinheiten, 430 Tabellen, die Gutachten entstehen über eine automatisierte Satzstrecke. Rund die Hälfte der Anwendung deckt Aufgaben ab, die Odoo mitbringt – Akquise, Kunden, Angebote. Die andere Hälfte ist Fachlogik ohne Entsprechung: Prüflisten nach VDI 6022, Labormasken, Maßnahmenkatalog und die Gutachtenerzeugung.</w:t>
      </w:r>
    </w:p>
    <w:p>
      <w:pPr>
        <w:spacing w:after="40"/>
      </w:pPr>
      <w:r>
        <w:rPr>
          <w:i/>
          <w:color w:val="7F7F7F"/>
          <w:sz w:val="18"/>
        </w:rPr>
        <w:t>Daraus folgt der Zuschnitt dieses Angebots: Odoo übernimmt das Kaufmännische, die bewährte Gutachtenerstellung bleibt. Verbunden werden beide über eine Stammdatenbrücke. Was funktioniert, wird nicht ersetzt.</w:t>
      </w:r>
    </w:p>
    <w:p>
      <w:pPr>
        <w:spacing w:before="280" w:after="0"/>
      </w:pPr>
      <w:r>
        <w:rPr>
          <w:rFonts w:ascii="Calibri" w:hAnsi="Calibri"/>
          <w:b/>
          <w:color w:val="7F7F7F"/>
          <w:sz w:val="15"/>
        </w:rPr>
        <w:t>ZWEI SYSTEME, EINE DATENBASIS</w:t>
      </w:r>
    </w:p>
    <w:p>
      <w:pPr>
        <w:spacing w:before="40" w:after="120"/>
        <w:pBdr>
          <w:bottom w:val="single" w:sz="8" w:space="2" w:color="1F4E79"/>
        </w:pBdr>
      </w:pPr>
      <w:r>
        <w:rPr>
          <w:b/>
          <w:color w:val="1F4E79"/>
          <w:sz w:val="26"/>
        </w:rPr>
        <w:t>Der Zuschnitt</w:t>
      </w:r>
    </w:p>
    <w:tbl>
      <w:tblPr>
        <w:tblStyle w:val="TableGrid"/>
        <w:tblW w:type="auto" w:w="0"/>
        <w:jc w:val="left"/>
        <w:tblLook w:firstColumn="1" w:firstRow="1" w:lastColumn="0" w:lastRow="0" w:noHBand="0" w:noVBand="1" w:val="04A0"/>
      </w:tblPr>
      <w:tblGrid>
        <w:gridCol w:w="3213"/>
        <w:gridCol w:w="3213"/>
        <w:gridCol w:w="3213"/>
      </w:tblGrid>
      <w:tr>
        <w:tc>
          <w:tcPr>
            <w:tcW w:type="dxa" w:w="3061"/>
            <w:shd w:val="clear" w:fill="1F4E79"/>
          </w:tcPr>
          <w:p>
            <w:pPr>
              <w:spacing w:after="0"/>
            </w:pPr>
            <w:r>
              <w:rPr>
                <w:b/>
                <w:color w:val="FFFFFF"/>
                <w:sz w:val="19"/>
              </w:rPr>
              <w:t>Bereich</w:t>
            </w:r>
          </w:p>
        </w:tc>
        <w:tc>
          <w:tcPr>
            <w:tcW w:type="dxa" w:w="1928"/>
            <w:shd w:val="clear" w:fill="1F4E79"/>
          </w:tcPr>
          <w:p>
            <w:pPr>
              <w:spacing w:after="0"/>
            </w:pPr>
            <w:r>
              <w:rPr>
                <w:b/>
                <w:color w:val="FFFFFF"/>
                <w:sz w:val="19"/>
              </w:rPr>
              <w:t>Künftig</w:t>
            </w:r>
          </w:p>
        </w:tc>
        <w:tc>
          <w:tcPr>
            <w:tcW w:type="dxa" w:w="4649"/>
            <w:shd w:val="clear" w:fill="1F4E79"/>
          </w:tcPr>
          <w:p>
            <w:pPr>
              <w:spacing w:after="0"/>
            </w:pPr>
            <w:r>
              <w:rPr>
                <w:b/>
                <w:color w:val="FFFFFF"/>
                <w:sz w:val="19"/>
              </w:rPr>
              <w:t>Anmerkung</w:t>
            </w:r>
          </w:p>
        </w:tc>
      </w:tr>
      <w:tr>
        <w:tc>
          <w:tcPr>
            <w:tcW w:type="dxa" w:w="3061"/>
            <w:shd w:val="clear" w:fill="DCE6F1"/>
          </w:tcPr>
          <w:p>
            <w:pPr>
              <w:spacing w:after="0"/>
            </w:pPr>
            <w:r>
              <w:rPr>
                <w:b w:val="0"/>
                <w:sz w:val="19"/>
              </w:rPr>
              <w:t>Akquise und Interessenten</w:t>
            </w:r>
          </w:p>
        </w:tc>
        <w:tc>
          <w:tcPr>
            <w:tcW w:type="dxa" w:w="1928"/>
            <w:shd w:val="clear" w:fill="DCE6F1"/>
          </w:tcPr>
          <w:p>
            <w:pPr>
              <w:spacing w:after="0"/>
            </w:pPr>
            <w:r>
              <w:rPr>
                <w:b/>
                <w:sz w:val="19"/>
              </w:rPr>
              <w:t>Odoo</w:t>
            </w:r>
          </w:p>
        </w:tc>
        <w:tc>
          <w:tcPr>
            <w:tcW w:type="dxa" w:w="4649"/>
            <w:shd w:val="clear" w:fill="DCE6F1"/>
          </w:tcPr>
          <w:p>
            <w:pPr>
              <w:spacing w:after="0"/>
            </w:pPr>
            <w:r>
              <w:rPr>
                <w:b w:val="0"/>
                <w:sz w:val="19"/>
              </w:rPr>
              <w:t>10.387 Adressen im CRM</w:t>
            </w:r>
          </w:p>
        </w:tc>
      </w:tr>
      <w:tr>
        <w:tc>
          <w:tcPr>
            <w:tcW w:type="dxa" w:w="3061"/>
            <w:shd w:val="clear" w:fill="DCE6F1"/>
          </w:tcPr>
          <w:p>
            <w:pPr>
              <w:spacing w:after="0"/>
            </w:pPr>
            <w:r>
              <w:rPr>
                <w:b w:val="0"/>
                <w:sz w:val="19"/>
              </w:rPr>
              <w:t>Kunden, Werke, Gebäude</w:t>
            </w:r>
          </w:p>
        </w:tc>
        <w:tc>
          <w:tcPr>
            <w:tcW w:type="dxa" w:w="1928"/>
            <w:shd w:val="clear" w:fill="DCE6F1"/>
          </w:tcPr>
          <w:p>
            <w:pPr>
              <w:spacing w:after="0"/>
            </w:pPr>
            <w:r>
              <w:rPr>
                <w:b/>
                <w:sz w:val="19"/>
              </w:rPr>
              <w:t>Odoo</w:t>
            </w:r>
          </w:p>
        </w:tc>
        <w:tc>
          <w:tcPr>
            <w:tcW w:type="dxa" w:w="4649"/>
            <w:shd w:val="clear" w:fill="DCE6F1"/>
          </w:tcPr>
          <w:p>
            <w:pPr>
              <w:spacing w:after="0"/>
            </w:pPr>
            <w:r>
              <w:rPr>
                <w:b w:val="0"/>
                <w:sz w:val="19"/>
              </w:rPr>
              <w:t>führender Stand für beide Systeme</w:t>
            </w:r>
          </w:p>
        </w:tc>
      </w:tr>
      <w:tr>
        <w:tc>
          <w:tcPr>
            <w:tcW w:type="dxa" w:w="3061"/>
            <w:shd w:val="clear" w:fill="DCE6F1"/>
          </w:tcPr>
          <w:p>
            <w:pPr>
              <w:spacing w:after="0"/>
            </w:pPr>
            <w:r>
              <w:rPr>
                <w:b w:val="0"/>
                <w:sz w:val="19"/>
              </w:rPr>
              <w:t>Anlagenstamm, Prüfintervalle</w:t>
            </w:r>
          </w:p>
        </w:tc>
        <w:tc>
          <w:tcPr>
            <w:tcW w:type="dxa" w:w="1928"/>
            <w:shd w:val="clear" w:fill="DCE6F1"/>
          </w:tcPr>
          <w:p>
            <w:pPr>
              <w:spacing w:after="0"/>
            </w:pPr>
            <w:r>
              <w:rPr>
                <w:b/>
                <w:sz w:val="19"/>
              </w:rPr>
              <w:t>Odoo</w:t>
            </w:r>
          </w:p>
        </w:tc>
        <w:tc>
          <w:tcPr>
            <w:tcW w:type="dxa" w:w="4649"/>
            <w:shd w:val="clear" w:fill="DCE6F1"/>
          </w:tcPr>
          <w:p>
            <w:pPr>
              <w:spacing w:after="0"/>
            </w:pPr>
            <w:r>
              <w:rPr>
                <w:b w:val="0"/>
                <w:sz w:val="19"/>
              </w:rPr>
              <w:t>938 RLT-Anlagen, Turnussteuerung neu</w:t>
            </w:r>
          </w:p>
        </w:tc>
      </w:tr>
      <w:tr>
        <w:tc>
          <w:tcPr>
            <w:tcW w:type="dxa" w:w="3061"/>
            <w:shd w:val="clear" w:fill="DCE6F1"/>
          </w:tcPr>
          <w:p>
            <w:pPr>
              <w:spacing w:after="0"/>
            </w:pPr>
            <w:r>
              <w:rPr>
                <w:b w:val="0"/>
                <w:sz w:val="19"/>
              </w:rPr>
              <w:t>Angebote und Aufträge</w:t>
            </w:r>
          </w:p>
        </w:tc>
        <w:tc>
          <w:tcPr>
            <w:tcW w:type="dxa" w:w="1928"/>
            <w:shd w:val="clear" w:fill="DCE6F1"/>
          </w:tcPr>
          <w:p>
            <w:pPr>
              <w:spacing w:after="0"/>
            </w:pPr>
            <w:r>
              <w:rPr>
                <w:b/>
                <w:sz w:val="19"/>
              </w:rPr>
              <w:t>Odoo</w:t>
            </w:r>
          </w:p>
        </w:tc>
        <w:tc>
          <w:tcPr>
            <w:tcW w:type="dxa" w:w="4649"/>
            <w:shd w:val="clear" w:fill="DCE6F1"/>
          </w:tcPr>
          <w:p>
            <w:pPr>
              <w:spacing w:after="0"/>
            </w:pPr>
          </w:p>
        </w:tc>
      </w:tr>
      <w:tr>
        <w:tc>
          <w:tcPr>
            <w:tcW w:type="dxa" w:w="3061"/>
            <w:shd w:val="clear" w:fill="DCE6F1"/>
          </w:tcPr>
          <w:p>
            <w:pPr>
              <w:spacing w:after="0"/>
            </w:pPr>
            <w:r>
              <w:rPr>
                <w:b w:val="0"/>
                <w:sz w:val="19"/>
              </w:rPr>
              <w:t>Rechnungen und Buchhaltung</w:t>
            </w:r>
          </w:p>
        </w:tc>
        <w:tc>
          <w:tcPr>
            <w:tcW w:type="dxa" w:w="1928"/>
            <w:shd w:val="clear" w:fill="DCE6F1"/>
          </w:tcPr>
          <w:p>
            <w:pPr>
              <w:spacing w:after="0"/>
            </w:pPr>
            <w:r>
              <w:rPr>
                <w:b/>
                <w:sz w:val="19"/>
              </w:rPr>
              <w:t>Odoo</w:t>
            </w:r>
          </w:p>
        </w:tc>
        <w:tc>
          <w:tcPr>
            <w:tcW w:type="dxa" w:w="4649"/>
            <w:shd w:val="clear" w:fill="DCE6F1"/>
          </w:tcPr>
          <w:p>
            <w:pPr>
              <w:spacing w:after="0"/>
            </w:pPr>
            <w:r>
              <w:rPr>
                <w:b w:val="0"/>
                <w:sz w:val="19"/>
              </w:rPr>
              <w:t>heute außerhalb, SKR04</w:t>
            </w:r>
          </w:p>
        </w:tc>
      </w:tr>
      <w:tr>
        <w:tc>
          <w:tcPr>
            <w:tcW w:type="dxa" w:w="3061"/>
            <w:shd w:val="clear" w:fill="DCE6F1"/>
          </w:tcPr>
          <w:p>
            <w:pPr>
              <w:spacing w:after="0"/>
            </w:pPr>
            <w:r>
              <w:rPr>
                <w:b w:val="0"/>
                <w:sz w:val="19"/>
              </w:rPr>
              <w:t>Artikel, Lager, Einkauf</w:t>
            </w:r>
          </w:p>
        </w:tc>
        <w:tc>
          <w:tcPr>
            <w:tcW w:type="dxa" w:w="1928"/>
            <w:shd w:val="clear" w:fill="DCE6F1"/>
          </w:tcPr>
          <w:p>
            <w:pPr>
              <w:spacing w:after="0"/>
            </w:pPr>
            <w:r>
              <w:rPr>
                <w:b/>
                <w:sz w:val="19"/>
              </w:rPr>
              <w:t>Odoo</w:t>
            </w:r>
          </w:p>
        </w:tc>
        <w:tc>
          <w:tcPr>
            <w:tcW w:type="dxa" w:w="4649"/>
            <w:shd w:val="clear" w:fill="DCE6F1"/>
          </w:tcPr>
          <w:p>
            <w:pPr>
              <w:spacing w:after="0"/>
            </w:pPr>
            <w:r>
              <w:rPr>
                <w:b w:val="0"/>
                <w:sz w:val="19"/>
              </w:rPr>
              <w:t>heute mehrere Einzeldokumente</w:t>
            </w:r>
          </w:p>
        </w:tc>
      </w:tr>
      <w:tr>
        <w:tc>
          <w:tcPr>
            <w:tcW w:type="dxa" w:w="3061"/>
            <w:shd w:val="clear" w:fill="DCE6F1"/>
          </w:tcPr>
          <w:p>
            <w:pPr>
              <w:spacing w:after="0"/>
            </w:pPr>
            <w:r>
              <w:rPr>
                <w:b w:val="0"/>
                <w:sz w:val="19"/>
              </w:rPr>
              <w:t>Zeiterfassung</w:t>
            </w:r>
          </w:p>
        </w:tc>
        <w:tc>
          <w:tcPr>
            <w:tcW w:type="dxa" w:w="1928"/>
            <w:shd w:val="clear" w:fill="DCE6F1"/>
          </w:tcPr>
          <w:p>
            <w:pPr>
              <w:spacing w:after="0"/>
            </w:pPr>
            <w:r>
              <w:rPr>
                <w:b/>
                <w:sz w:val="19"/>
              </w:rPr>
              <w:t>Odoo</w:t>
            </w:r>
          </w:p>
        </w:tc>
        <w:tc>
          <w:tcPr>
            <w:tcW w:type="dxa" w:w="4649"/>
            <w:shd w:val="clear" w:fill="DCE6F1"/>
          </w:tcPr>
          <w:p>
            <w:pPr>
              <w:spacing w:after="0"/>
            </w:pPr>
            <w:r>
              <w:rPr>
                <w:b w:val="0"/>
                <w:sz w:val="19"/>
              </w:rPr>
              <w:t>heute außerhalb</w:t>
            </w:r>
          </w:p>
        </w:tc>
      </w:tr>
      <w:tr>
        <w:tc>
          <w:tcPr>
            <w:tcW w:type="dxa" w:w="3061"/>
            <w:shd w:val="clear" w:fill="DCE6F1"/>
          </w:tcPr>
          <w:p>
            <w:pPr>
              <w:spacing w:after="0"/>
            </w:pPr>
            <w:r>
              <w:rPr>
                <w:b w:val="0"/>
                <w:sz w:val="19"/>
              </w:rPr>
              <w:t>Schulungsgeschäft</w:t>
            </w:r>
          </w:p>
        </w:tc>
        <w:tc>
          <w:tcPr>
            <w:tcW w:type="dxa" w:w="1928"/>
            <w:shd w:val="clear" w:fill="DCE6F1"/>
          </w:tcPr>
          <w:p>
            <w:pPr>
              <w:spacing w:after="0"/>
            </w:pPr>
            <w:r>
              <w:rPr>
                <w:b/>
                <w:sz w:val="19"/>
              </w:rPr>
              <w:t>Odoo</w:t>
            </w:r>
          </w:p>
        </w:tc>
        <w:tc>
          <w:tcPr>
            <w:tcW w:type="dxa" w:w="4649"/>
            <w:shd w:val="clear" w:fill="DCE6F1"/>
          </w:tcPr>
          <w:p>
            <w:pPr>
              <w:spacing w:after="0"/>
            </w:pPr>
            <w:r>
              <w:rPr>
                <w:b w:val="0"/>
                <w:sz w:val="19"/>
              </w:rPr>
              <w:t>heute vollständig außerhalb</w:t>
            </w:r>
          </w:p>
        </w:tc>
      </w:tr>
      <w:tr>
        <w:tc>
          <w:tcPr>
            <w:tcW w:type="dxa" w:w="3061"/>
          </w:tcPr>
          <w:p>
            <w:pPr>
              <w:spacing w:after="0"/>
            </w:pPr>
            <w:r>
              <w:rPr>
                <w:b w:val="0"/>
                <w:sz w:val="19"/>
              </w:rPr>
              <w:t>Prüflisten nach VDI 6022</w:t>
            </w:r>
          </w:p>
        </w:tc>
        <w:tc>
          <w:tcPr>
            <w:tcW w:type="dxa" w:w="1928"/>
          </w:tcPr>
          <w:p>
            <w:pPr>
              <w:spacing w:after="0"/>
            </w:pPr>
            <w:r>
              <w:rPr>
                <w:b w:val="0"/>
                <w:sz w:val="19"/>
              </w:rPr>
              <w:t>bestehendes System</w:t>
            </w:r>
          </w:p>
        </w:tc>
        <w:tc>
          <w:tcPr>
            <w:tcW w:type="dxa" w:w="4649"/>
          </w:tcPr>
          <w:p>
            <w:pPr>
              <w:spacing w:after="0"/>
            </w:pPr>
            <w:r>
              <w:rPr>
                <w:b w:val="0"/>
                <w:sz w:val="19"/>
              </w:rPr>
              <w:t>bleibt unverändert</w:t>
            </w:r>
          </w:p>
        </w:tc>
      </w:tr>
      <w:tr>
        <w:tc>
          <w:tcPr>
            <w:tcW w:type="dxa" w:w="3061"/>
          </w:tcPr>
          <w:p>
            <w:pPr>
              <w:spacing w:after="0"/>
            </w:pPr>
            <w:r>
              <w:rPr>
                <w:b w:val="0"/>
                <w:sz w:val="19"/>
              </w:rPr>
              <w:t>Gutachten erstellen und bearbeiten</w:t>
            </w:r>
          </w:p>
        </w:tc>
        <w:tc>
          <w:tcPr>
            <w:tcW w:type="dxa" w:w="1928"/>
          </w:tcPr>
          <w:p>
            <w:pPr>
              <w:spacing w:after="0"/>
            </w:pPr>
            <w:r>
              <w:rPr>
                <w:b w:val="0"/>
                <w:sz w:val="19"/>
              </w:rPr>
              <w:t>bestehendes System</w:t>
            </w:r>
          </w:p>
        </w:tc>
        <w:tc>
          <w:tcPr>
            <w:tcW w:type="dxa" w:w="4649"/>
          </w:tcPr>
          <w:p>
            <w:pPr>
              <w:spacing w:after="0"/>
            </w:pPr>
            <w:r>
              <w:rPr>
                <w:b w:val="0"/>
                <w:sz w:val="19"/>
              </w:rPr>
              <w:t>Layout und Ablauf bleiben</w:t>
            </w:r>
          </w:p>
        </w:tc>
      </w:tr>
      <w:tr>
        <w:tc>
          <w:tcPr>
            <w:tcW w:type="dxa" w:w="3061"/>
          </w:tcPr>
          <w:p>
            <w:pPr>
              <w:spacing w:after="0"/>
            </w:pPr>
            <w:r>
              <w:rPr>
                <w:b w:val="0"/>
                <w:sz w:val="19"/>
              </w:rPr>
              <w:t>Labormasken, Messergebnisse</w:t>
            </w:r>
          </w:p>
        </w:tc>
        <w:tc>
          <w:tcPr>
            <w:tcW w:type="dxa" w:w="1928"/>
          </w:tcPr>
          <w:p>
            <w:pPr>
              <w:spacing w:after="0"/>
            </w:pPr>
            <w:r>
              <w:rPr>
                <w:b w:val="0"/>
                <w:sz w:val="19"/>
              </w:rPr>
              <w:t>bestehendes System</w:t>
            </w:r>
          </w:p>
        </w:tc>
        <w:tc>
          <w:tcPr>
            <w:tcW w:type="dxa" w:w="4649"/>
          </w:tcPr>
          <w:p>
            <w:pPr>
              <w:spacing w:after="0"/>
            </w:pPr>
            <w:r>
              <w:rPr>
                <w:b w:val="0"/>
                <w:sz w:val="19"/>
              </w:rPr>
              <w:t>bleibt unverändert</w:t>
            </w:r>
          </w:p>
        </w:tc>
      </w:tr>
    </w:tbl>
    <w:p>
      <w:pPr>
        <w:spacing w:after="240"/>
      </w:pPr>
      <w:r>
        <w:rPr>
          <w:b w:val="0"/>
          <w:i w:val="0"/>
          <w:sz w:val="20"/>
        </w:rPr>
        <w:t>Die Stammdatenbrücke sorgt dafür, dass die Gutachtenanwendung Kunden und Anlagen automatisch sieht, sobald sie in Odoo gepflegt werden. Die Erfassungsmasken für Kunden, Akquise und Angebote werden im Altsystem ausgeblendet, damit Stammdaten nur an einer Stelle entstehen.</w:t>
      </w:r>
    </w:p>
    <w:p>
      <w:r>
        <w:br w:type="page"/>
      </w:r>
    </w:p>
    <w:p>
      <w:pPr>
        <w:spacing w:before="280" w:after="0"/>
      </w:pPr>
      <w:r>
        <w:rPr>
          <w:rFonts w:ascii="Calibri" w:hAnsi="Calibri"/>
          <w:b/>
          <w:color w:val="7F7F7F"/>
          <w:sz w:val="15"/>
        </w:rPr>
        <w:t>ACHT ARBEITSPAKETE</w:t>
      </w:r>
    </w:p>
    <w:p>
      <w:pPr>
        <w:spacing w:before="40" w:after="120"/>
        <w:pBdr>
          <w:bottom w:val="single" w:sz="8" w:space="2" w:color="1F4E79"/>
        </w:pBdr>
      </w:pPr>
      <w:r>
        <w:rPr>
          <w:b/>
          <w:color w:val="1F4E79"/>
          <w:sz w:val="26"/>
        </w:rPr>
        <w:t>Leistungsumfang</w:t>
      </w:r>
    </w:p>
    <w:p>
      <w:pPr>
        <w:spacing w:after="200"/>
      </w:pPr>
      <w:r>
        <w:rPr>
          <w:b w:val="0"/>
          <w:i/>
          <w:sz w:val="20"/>
        </w:rPr>
        <w:t>Die Gliederung folgt den acht Arbeitspaketen, die zwischen aktivierungsbezogenen und laufenden Leistungen unterscheiden. Damit lässt sich der Herstellungsanteil sauber abgrenzen; die bilanzielle Beurteilung trifft biotec mit dem Wirtschaftsprüfer.</w:t>
      </w:r>
    </w:p>
    <w:p>
      <w:pPr>
        <w:spacing w:before="280" w:after="0"/>
      </w:pPr>
      <w:r>
        <w:rPr>
          <w:rFonts w:ascii="Calibri" w:hAnsi="Calibri"/>
          <w:b/>
          <w:color w:val="7F7F7F"/>
          <w:sz w:val="15"/>
        </w:rPr>
        <w:t>AUFWAND</w:t>
      </w:r>
    </w:p>
    <w:p>
      <w:pPr>
        <w:spacing w:before="40" w:after="120"/>
        <w:pBdr>
          <w:bottom w:val="single" w:sz="8" w:space="2" w:color="1F4E79"/>
        </w:pBdr>
      </w:pPr>
      <w:r>
        <w:rPr>
          <w:b/>
          <w:color w:val="1F4E79"/>
          <w:sz w:val="26"/>
        </w:rPr>
        <w:t>1 · Analyse und Beratung</w:t>
      </w:r>
    </w:p>
    <w:tbl>
      <w:tblPr>
        <w:tblStyle w:val="TableGrid"/>
        <w:tblW w:type="auto" w:w="0"/>
        <w:jc w:val="left"/>
        <w:tblLook w:firstColumn="1" w:firstRow="1" w:lastColumn="0" w:lastRow="0" w:noHBand="0" w:noVBand="1" w:val="04A0"/>
      </w:tblPr>
      <w:tblGrid>
        <w:gridCol w:w="3213"/>
        <w:gridCol w:w="3213"/>
        <w:gridCol w:w="3213"/>
      </w:tblGrid>
      <w:tr>
        <w:tc>
          <w:tcPr>
            <w:tcW w:type="dxa" w:w="794"/>
            <w:shd w:val="clear" w:fill="1F4E79"/>
          </w:tcPr>
          <w:p>
            <w:pPr>
              <w:spacing w:after="0"/>
            </w:pPr>
            <w:r>
              <w:rPr>
                <w:b/>
                <w:color w:val="FFFFFF"/>
                <w:sz w:val="19"/>
              </w:rPr>
              <w:t>Nr.</w:t>
            </w:r>
          </w:p>
        </w:tc>
        <w:tc>
          <w:tcPr>
            <w:tcW w:type="dxa" w:w="7710"/>
            <w:shd w:val="clear" w:fill="1F4E79"/>
          </w:tcPr>
          <w:p>
            <w:pPr>
              <w:spacing w:after="0"/>
            </w:pPr>
            <w:r>
              <w:rPr>
                <w:b/>
                <w:color w:val="FFFFFF"/>
                <w:sz w:val="19"/>
              </w:rPr>
              <w:t>Leistung</w:t>
            </w:r>
          </w:p>
        </w:tc>
        <w:tc>
          <w:tcPr>
            <w:tcW w:type="dxa" w:w="1134"/>
            <w:shd w:val="clear" w:fill="1F4E79"/>
          </w:tcPr>
          <w:p>
            <w:pPr>
              <w:spacing w:after="0"/>
            </w:pPr>
            <w:r>
              <w:rPr>
                <w:b/>
                <w:color w:val="FFFFFF"/>
                <w:sz w:val="19"/>
              </w:rPr>
              <w:t>PT</w:t>
            </w:r>
          </w:p>
        </w:tc>
      </w:tr>
      <w:tr>
        <w:tc>
          <w:tcPr>
            <w:tcW w:type="dxa" w:w="794"/>
          </w:tcPr>
          <w:p>
            <w:pPr>
              <w:spacing w:after="0"/>
            </w:pPr>
            <w:r>
              <w:rPr>
                <w:b w:val="0"/>
                <w:sz w:val="19"/>
              </w:rPr>
              <w:t>1.1</w:t>
            </w:r>
          </w:p>
        </w:tc>
        <w:tc>
          <w:tcPr>
            <w:tcW w:type="dxa" w:w="7710"/>
          </w:tcPr>
          <w:p>
            <w:pPr>
              <w:spacing w:after="0"/>
            </w:pPr>
            <w:r>
              <w:rPr>
                <w:b w:val="0"/>
                <w:sz w:val="19"/>
              </w:rPr>
              <w:t>Prozessaufnahme Labor: Auftrag, Probenahme, Bebrütung, Auszählung, Gutachtenübergabe, Rechnung</w:t>
            </w:r>
          </w:p>
        </w:tc>
        <w:tc>
          <w:tcPr>
            <w:tcW w:type="dxa" w:w="1134"/>
          </w:tcPr>
          <w:p>
            <w:pPr>
              <w:spacing w:after="0"/>
            </w:pPr>
            <w:r>
              <w:rPr>
                <w:b w:val="0"/>
                <w:sz w:val="19"/>
              </w:rPr>
              <w:t>3,0</w:t>
            </w:r>
          </w:p>
        </w:tc>
      </w:tr>
      <w:tr>
        <w:tc>
          <w:tcPr>
            <w:tcW w:type="dxa" w:w="794"/>
          </w:tcPr>
          <w:p>
            <w:pPr>
              <w:spacing w:after="0"/>
            </w:pPr>
            <w:r>
              <w:rPr>
                <w:b w:val="0"/>
                <w:sz w:val="19"/>
              </w:rPr>
              <w:t>1.2</w:t>
            </w:r>
          </w:p>
        </w:tc>
        <w:tc>
          <w:tcPr>
            <w:tcW w:type="dxa" w:w="7710"/>
          </w:tcPr>
          <w:p>
            <w:pPr>
              <w:spacing w:after="0"/>
            </w:pPr>
            <w:r>
              <w:rPr>
                <w:b w:val="0"/>
                <w:sz w:val="19"/>
              </w:rPr>
              <w:t>Prozessaufnahme Schulungsgeschäft und kaufmännische Abläufe</w:t>
            </w:r>
          </w:p>
        </w:tc>
        <w:tc>
          <w:tcPr>
            <w:tcW w:type="dxa" w:w="1134"/>
          </w:tcPr>
          <w:p>
            <w:pPr>
              <w:spacing w:after="0"/>
            </w:pPr>
            <w:r>
              <w:rPr>
                <w:b w:val="0"/>
                <w:sz w:val="19"/>
              </w:rPr>
              <w:t>2,0</w:t>
            </w:r>
          </w:p>
        </w:tc>
      </w:tr>
      <w:tr>
        <w:tc>
          <w:tcPr>
            <w:tcW w:type="dxa" w:w="794"/>
          </w:tcPr>
          <w:p>
            <w:pPr>
              <w:spacing w:after="0"/>
            </w:pPr>
            <w:r>
              <w:rPr>
                <w:b w:val="0"/>
                <w:sz w:val="19"/>
              </w:rPr>
              <w:t>1.3</w:t>
            </w:r>
          </w:p>
        </w:tc>
        <w:tc>
          <w:tcPr>
            <w:tcW w:type="dxa" w:w="7710"/>
          </w:tcPr>
          <w:p>
            <w:pPr>
              <w:spacing w:after="0"/>
            </w:pPr>
            <w:r>
              <w:rPr>
                <w:b w:val="0"/>
                <w:sz w:val="19"/>
              </w:rPr>
              <w:t>Soll-Konzept mit Abbildungsentscheidungen je Bereich, abgestimmt und freigegeben</w:t>
            </w:r>
          </w:p>
        </w:tc>
        <w:tc>
          <w:tcPr>
            <w:tcW w:type="dxa" w:w="1134"/>
          </w:tcPr>
          <w:p>
            <w:pPr>
              <w:spacing w:after="0"/>
            </w:pPr>
            <w:r>
              <w:rPr>
                <w:b w:val="0"/>
                <w:sz w:val="19"/>
              </w:rPr>
              <w:t>3,0</w:t>
            </w:r>
          </w:p>
        </w:tc>
      </w:tr>
      <w:tr>
        <w:tc>
          <w:tcPr>
            <w:tcW w:type="dxa" w:w="794"/>
          </w:tcPr>
          <w:p>
            <w:pPr>
              <w:spacing w:after="0"/>
            </w:pPr>
            <w:r>
              <w:rPr>
                <w:b w:val="0"/>
                <w:sz w:val="19"/>
              </w:rPr>
              <w:t>1.4</w:t>
            </w:r>
          </w:p>
        </w:tc>
        <w:tc>
          <w:tcPr>
            <w:tcW w:type="dxa" w:w="7710"/>
          </w:tcPr>
          <w:p>
            <w:pPr>
              <w:spacing w:after="0"/>
            </w:pPr>
            <w:r>
              <w:rPr>
                <w:b w:val="0"/>
                <w:sz w:val="19"/>
              </w:rPr>
              <w:t>Rollen- und Rechtekonzept, Grundlage für Lizenzzahl und Zugriffe</w:t>
            </w:r>
          </w:p>
        </w:tc>
        <w:tc>
          <w:tcPr>
            <w:tcW w:type="dxa" w:w="1134"/>
          </w:tcPr>
          <w:p>
            <w:pPr>
              <w:spacing w:after="0"/>
            </w:pPr>
            <w:r>
              <w:rPr>
                <w:b w:val="0"/>
                <w:sz w:val="19"/>
              </w:rPr>
              <w:t>2,0</w:t>
            </w:r>
          </w:p>
        </w:tc>
      </w:tr>
      <w:tr>
        <w:tc>
          <w:tcPr>
            <w:tcW w:type="dxa" w:w="794"/>
          </w:tcPr>
          <w:p>
            <w:pPr>
              <w:spacing w:after="0"/>
            </w:pPr>
            <w:r>
              <w:rPr>
                <w:b w:val="0"/>
                <w:sz w:val="19"/>
              </w:rPr>
              <w:t>1.5</w:t>
            </w:r>
          </w:p>
        </w:tc>
        <w:tc>
          <w:tcPr>
            <w:tcW w:type="dxa" w:w="7710"/>
          </w:tcPr>
          <w:p>
            <w:pPr>
              <w:spacing w:after="0"/>
            </w:pPr>
            <w:r>
              <w:rPr>
                <w:b w:val="0"/>
                <w:sz w:val="19"/>
              </w:rPr>
              <w:t>Projektleitung, Abstimmungen, Statusberichte über die Laufzeit</w:t>
            </w:r>
          </w:p>
        </w:tc>
        <w:tc>
          <w:tcPr>
            <w:tcW w:type="dxa" w:w="1134"/>
          </w:tcPr>
          <w:p>
            <w:pPr>
              <w:spacing w:after="0"/>
            </w:pPr>
            <w:r>
              <w:rPr>
                <w:b w:val="0"/>
                <w:sz w:val="19"/>
              </w:rPr>
              <w:t>12,0</w:t>
            </w:r>
          </w:p>
        </w:tc>
      </w:tr>
      <w:tr>
        <w:tc>
          <w:tcPr>
            <w:tcW w:type="dxa" w:w="794"/>
            <w:shd w:val="clear" w:fill="DCE6F1"/>
          </w:tcPr>
          <w:p>
            <w:pPr>
              <w:spacing w:after="0"/>
            </w:pPr>
          </w:p>
        </w:tc>
        <w:tc>
          <w:tcPr>
            <w:tcW w:type="dxa" w:w="7710"/>
            <w:shd w:val="clear" w:fill="DCE6F1"/>
          </w:tcPr>
          <w:p>
            <w:pPr>
              <w:spacing w:after="0"/>
            </w:pPr>
            <w:r>
              <w:rPr>
                <w:b/>
                <w:sz w:val="19"/>
              </w:rPr>
              <w:t>Summe 1</w:t>
            </w:r>
          </w:p>
        </w:tc>
        <w:tc>
          <w:tcPr>
            <w:tcW w:type="dxa" w:w="1134"/>
            <w:shd w:val="clear" w:fill="DCE6F1"/>
          </w:tcPr>
          <w:p>
            <w:pPr>
              <w:spacing w:after="0"/>
            </w:pPr>
            <w:r>
              <w:rPr>
                <w:b/>
                <w:sz w:val="19"/>
              </w:rPr>
              <w:t>22,0</w:t>
            </w:r>
          </w:p>
        </w:tc>
      </w:tr>
    </w:tbl>
    <w:p/>
    <w:p>
      <w:pPr>
        <w:spacing w:before="280" w:after="0"/>
      </w:pPr>
      <w:r>
        <w:rPr>
          <w:rFonts w:ascii="Calibri" w:hAnsi="Calibri"/>
          <w:b/>
          <w:color w:val="7F7F7F"/>
          <w:sz w:val="15"/>
        </w:rPr>
        <w:t>AKTIVIERUNGSBEZOGEN</w:t>
      </w:r>
    </w:p>
    <w:p>
      <w:pPr>
        <w:spacing w:before="40" w:after="120"/>
        <w:pBdr>
          <w:bottom w:val="single" w:sz="8" w:space="2" w:color="1F4E79"/>
        </w:pBdr>
      </w:pPr>
      <w:r>
        <w:rPr>
          <w:b/>
          <w:color w:val="1F4E79"/>
          <w:sz w:val="26"/>
        </w:rPr>
        <w:t>2 · Konfiguration der Odoo-Module</w:t>
      </w:r>
    </w:p>
    <w:tbl>
      <w:tblPr>
        <w:tblStyle w:val="TableGrid"/>
        <w:tblW w:type="auto" w:w="0"/>
        <w:jc w:val="left"/>
        <w:tblLook w:firstColumn="1" w:firstRow="1" w:lastColumn="0" w:lastRow="0" w:noHBand="0" w:noVBand="1" w:val="04A0"/>
      </w:tblPr>
      <w:tblGrid>
        <w:gridCol w:w="3213"/>
        <w:gridCol w:w="3213"/>
        <w:gridCol w:w="3213"/>
      </w:tblGrid>
      <w:tr>
        <w:tc>
          <w:tcPr>
            <w:tcW w:type="dxa" w:w="794"/>
            <w:shd w:val="clear" w:fill="1F4E79"/>
          </w:tcPr>
          <w:p>
            <w:pPr>
              <w:spacing w:after="0"/>
            </w:pPr>
            <w:r>
              <w:rPr>
                <w:b/>
                <w:color w:val="FFFFFF"/>
                <w:sz w:val="19"/>
              </w:rPr>
              <w:t>Nr.</w:t>
            </w:r>
          </w:p>
        </w:tc>
        <w:tc>
          <w:tcPr>
            <w:tcW w:type="dxa" w:w="7710"/>
            <w:shd w:val="clear" w:fill="1F4E79"/>
          </w:tcPr>
          <w:p>
            <w:pPr>
              <w:spacing w:after="0"/>
            </w:pPr>
            <w:r>
              <w:rPr>
                <w:b/>
                <w:color w:val="FFFFFF"/>
                <w:sz w:val="19"/>
              </w:rPr>
              <w:t>Leistung</w:t>
            </w:r>
          </w:p>
        </w:tc>
        <w:tc>
          <w:tcPr>
            <w:tcW w:type="dxa" w:w="1134"/>
            <w:shd w:val="clear" w:fill="1F4E79"/>
          </w:tcPr>
          <w:p>
            <w:pPr>
              <w:spacing w:after="0"/>
            </w:pPr>
            <w:r>
              <w:rPr>
                <w:b/>
                <w:color w:val="FFFFFF"/>
                <w:sz w:val="19"/>
              </w:rPr>
              <w:t>PT</w:t>
            </w:r>
          </w:p>
        </w:tc>
      </w:tr>
      <w:tr>
        <w:tc>
          <w:tcPr>
            <w:tcW w:type="dxa" w:w="794"/>
          </w:tcPr>
          <w:p>
            <w:pPr>
              <w:spacing w:after="0"/>
            </w:pPr>
            <w:r>
              <w:rPr>
                <w:b w:val="0"/>
                <w:sz w:val="19"/>
              </w:rPr>
              <w:t>2.1</w:t>
            </w:r>
          </w:p>
        </w:tc>
        <w:tc>
          <w:tcPr>
            <w:tcW w:type="dxa" w:w="7710"/>
          </w:tcPr>
          <w:p>
            <w:pPr>
              <w:spacing w:after="0"/>
            </w:pPr>
            <w:r>
              <w:rPr>
                <w:b w:val="0"/>
                <w:sz w:val="19"/>
              </w:rPr>
              <w:t>Grundeinrichtung: Unternehmen, drei Standorte, Nummernkreise, Benutzer, Zugriffsrechte, Sprachen</w:t>
            </w:r>
          </w:p>
        </w:tc>
        <w:tc>
          <w:tcPr>
            <w:tcW w:type="dxa" w:w="1134"/>
          </w:tcPr>
          <w:p>
            <w:pPr>
              <w:spacing w:after="0"/>
            </w:pPr>
            <w:r>
              <w:rPr>
                <w:b w:val="0"/>
                <w:sz w:val="19"/>
              </w:rPr>
              <w:t>3,0</w:t>
            </w:r>
          </w:p>
        </w:tc>
      </w:tr>
      <w:tr>
        <w:tc>
          <w:tcPr>
            <w:tcW w:type="dxa" w:w="794"/>
          </w:tcPr>
          <w:p>
            <w:pPr>
              <w:spacing w:after="0"/>
            </w:pPr>
            <w:r>
              <w:rPr>
                <w:b w:val="0"/>
                <w:sz w:val="19"/>
              </w:rPr>
              <w:t>2.2</w:t>
            </w:r>
          </w:p>
        </w:tc>
        <w:tc>
          <w:tcPr>
            <w:tcW w:type="dxa" w:w="7710"/>
          </w:tcPr>
          <w:p>
            <w:pPr>
              <w:spacing w:after="0"/>
            </w:pPr>
            <w:r>
              <w:rPr>
                <w:b w:val="0"/>
                <w:sz w:val="19"/>
              </w:rPr>
              <w:t>Kontakte und CRM: Kundenkategorien, Ansprechpartner, Werke und Gebäude als untergeordnete Kontakte, USt-IdNr.-Prüfung</w:t>
            </w:r>
          </w:p>
        </w:tc>
        <w:tc>
          <w:tcPr>
            <w:tcW w:type="dxa" w:w="1134"/>
          </w:tcPr>
          <w:p>
            <w:pPr>
              <w:spacing w:after="0"/>
            </w:pPr>
            <w:r>
              <w:rPr>
                <w:b w:val="0"/>
                <w:sz w:val="19"/>
              </w:rPr>
              <w:t>3,0</w:t>
            </w:r>
          </w:p>
        </w:tc>
      </w:tr>
      <w:tr>
        <w:tc>
          <w:tcPr>
            <w:tcW w:type="dxa" w:w="794"/>
          </w:tcPr>
          <w:p>
            <w:pPr>
              <w:spacing w:after="0"/>
            </w:pPr>
            <w:r>
              <w:rPr>
                <w:b w:val="0"/>
                <w:sz w:val="19"/>
              </w:rPr>
              <w:t>2.3</w:t>
            </w:r>
          </w:p>
        </w:tc>
        <w:tc>
          <w:tcPr>
            <w:tcW w:type="dxa" w:w="7710"/>
          </w:tcPr>
          <w:p>
            <w:pPr>
              <w:spacing w:after="0"/>
            </w:pPr>
            <w:r>
              <w:rPr>
                <w:b w:val="0"/>
                <w:sz w:val="19"/>
              </w:rPr>
              <w:t>Verkauf: Preislisten für Prüfleistungen, Kurse und Inhouse-Schulungen, Angebots- und Auftragsarten, Rahmenverträge</w:t>
            </w:r>
          </w:p>
        </w:tc>
        <w:tc>
          <w:tcPr>
            <w:tcW w:type="dxa" w:w="1134"/>
          </w:tcPr>
          <w:p>
            <w:pPr>
              <w:spacing w:after="0"/>
            </w:pPr>
            <w:r>
              <w:rPr>
                <w:b w:val="0"/>
                <w:sz w:val="19"/>
              </w:rPr>
              <w:t>4,0</w:t>
            </w:r>
          </w:p>
        </w:tc>
      </w:tr>
      <w:tr>
        <w:tc>
          <w:tcPr>
            <w:tcW w:type="dxa" w:w="794"/>
          </w:tcPr>
          <w:p>
            <w:pPr>
              <w:spacing w:after="0"/>
            </w:pPr>
            <w:r>
              <w:rPr>
                <w:b w:val="0"/>
                <w:sz w:val="19"/>
              </w:rPr>
              <w:t>2.4</w:t>
            </w:r>
          </w:p>
        </w:tc>
        <w:tc>
          <w:tcPr>
            <w:tcW w:type="dxa" w:w="7710"/>
          </w:tcPr>
          <w:p>
            <w:pPr>
              <w:spacing w:after="0"/>
            </w:pPr>
            <w:r>
              <w:rPr>
                <w:b w:val="0"/>
                <w:sz w:val="19"/>
              </w:rPr>
              <w:t>Leistungs- und Artikelstamm: Prüfleistungen, Kursarten, Verbrauchsmaterial, Kategorien mit Erlöskonten</w:t>
            </w:r>
          </w:p>
        </w:tc>
        <w:tc>
          <w:tcPr>
            <w:tcW w:type="dxa" w:w="1134"/>
          </w:tcPr>
          <w:p>
            <w:pPr>
              <w:spacing w:after="0"/>
            </w:pPr>
            <w:r>
              <w:rPr>
                <w:b w:val="0"/>
                <w:sz w:val="19"/>
              </w:rPr>
              <w:t>2,5</w:t>
            </w:r>
          </w:p>
        </w:tc>
      </w:tr>
      <w:tr>
        <w:tc>
          <w:tcPr>
            <w:tcW w:type="dxa" w:w="794"/>
          </w:tcPr>
          <w:p>
            <w:pPr>
              <w:spacing w:after="0"/>
            </w:pPr>
            <w:r>
              <w:rPr>
                <w:b w:val="0"/>
                <w:sz w:val="19"/>
              </w:rPr>
              <w:t>2.5</w:t>
            </w:r>
          </w:p>
        </w:tc>
        <w:tc>
          <w:tcPr>
            <w:tcW w:type="dxa" w:w="7710"/>
          </w:tcPr>
          <w:p>
            <w:pPr>
              <w:spacing w:after="0"/>
            </w:pPr>
            <w:r>
              <w:rPr>
                <w:b w:val="0"/>
                <w:sz w:val="19"/>
              </w:rPr>
              <w:t>Einkauf und Lager: Lagerorte, Verbrauchsmaterial, Nachbestellregeln für Gelatinefilter und Nährmedien</w:t>
            </w:r>
          </w:p>
        </w:tc>
        <w:tc>
          <w:tcPr>
            <w:tcW w:type="dxa" w:w="1134"/>
          </w:tcPr>
          <w:p>
            <w:pPr>
              <w:spacing w:after="0"/>
            </w:pPr>
            <w:r>
              <w:rPr>
                <w:b w:val="0"/>
                <w:sz w:val="19"/>
              </w:rPr>
              <w:t>3,0</w:t>
            </w:r>
          </w:p>
        </w:tc>
      </w:tr>
      <w:tr>
        <w:tc>
          <w:tcPr>
            <w:tcW w:type="dxa" w:w="794"/>
          </w:tcPr>
          <w:p>
            <w:pPr>
              <w:spacing w:after="0"/>
            </w:pPr>
            <w:r>
              <w:rPr>
                <w:b w:val="0"/>
                <w:sz w:val="19"/>
              </w:rPr>
              <w:t>2.6</w:t>
            </w:r>
          </w:p>
        </w:tc>
        <w:tc>
          <w:tcPr>
            <w:tcW w:type="dxa" w:w="7710"/>
          </w:tcPr>
          <w:p>
            <w:pPr>
              <w:spacing w:after="0"/>
            </w:pPr>
            <w:r>
              <w:rPr>
                <w:b w:val="0"/>
                <w:sz w:val="19"/>
              </w:rPr>
              <w:t>Buchhaltung: SKR04, Steuersätze 19 und 7 Prozent, Reverse Charge nach § 13b, Drittlandfälle, GoBD-Festschreibung, DATEV-Export, Bankabgleich, Mahnwesen</w:t>
            </w:r>
          </w:p>
        </w:tc>
        <w:tc>
          <w:tcPr>
            <w:tcW w:type="dxa" w:w="1134"/>
          </w:tcPr>
          <w:p>
            <w:pPr>
              <w:spacing w:after="0"/>
            </w:pPr>
            <w:r>
              <w:rPr>
                <w:b w:val="0"/>
                <w:sz w:val="19"/>
              </w:rPr>
              <w:t>10,0</w:t>
            </w:r>
          </w:p>
        </w:tc>
      </w:tr>
      <w:tr>
        <w:tc>
          <w:tcPr>
            <w:tcW w:type="dxa" w:w="794"/>
          </w:tcPr>
          <w:p>
            <w:pPr>
              <w:spacing w:after="0"/>
            </w:pPr>
            <w:r>
              <w:rPr>
                <w:b w:val="0"/>
                <w:sz w:val="19"/>
              </w:rPr>
              <w:t>2.7</w:t>
            </w:r>
          </w:p>
        </w:tc>
        <w:tc>
          <w:tcPr>
            <w:tcW w:type="dxa" w:w="7710"/>
          </w:tcPr>
          <w:p>
            <w:pPr>
              <w:spacing w:after="0"/>
            </w:pPr>
            <w:r>
              <w:rPr>
                <w:b w:val="0"/>
                <w:sz w:val="19"/>
              </w:rPr>
              <w:t>Analytische Buchhaltung: Ergebnis je Standort und je Geschäftsbereich (Hygieneinspektion, Analytik, Schulung)</w:t>
            </w:r>
          </w:p>
        </w:tc>
        <w:tc>
          <w:tcPr>
            <w:tcW w:type="dxa" w:w="1134"/>
          </w:tcPr>
          <w:p>
            <w:pPr>
              <w:spacing w:after="0"/>
            </w:pPr>
            <w:r>
              <w:rPr>
                <w:b w:val="0"/>
                <w:sz w:val="19"/>
              </w:rPr>
              <w:t>2,0</w:t>
            </w:r>
          </w:p>
        </w:tc>
      </w:tr>
      <w:tr>
        <w:tc>
          <w:tcPr>
            <w:tcW w:type="dxa" w:w="794"/>
          </w:tcPr>
          <w:p>
            <w:pPr>
              <w:spacing w:after="0"/>
            </w:pPr>
            <w:r>
              <w:rPr>
                <w:b w:val="0"/>
                <w:sz w:val="19"/>
              </w:rPr>
              <w:t>2.8</w:t>
            </w:r>
          </w:p>
        </w:tc>
        <w:tc>
          <w:tcPr>
            <w:tcW w:type="dxa" w:w="7710"/>
          </w:tcPr>
          <w:p>
            <w:pPr>
              <w:spacing w:after="0"/>
            </w:pPr>
            <w:r>
              <w:rPr>
                <w:b/>
                <w:sz w:val="19"/>
              </w:rPr>
              <w:t>Anlagen und Turnussteuerung:</w:t>
            </w:r>
            <w:r>
              <w:rPr>
                <w:b w:val="0"/>
                <w:sz w:val="19"/>
              </w:rPr>
              <w:t xml:space="preserve"> Wartungs-App mit Gerätekategorie RLT-Anlage, Zusatzfelder, Prüfintervalle je Anlagentyp, automatisch erzeugte Wartungsanfragen mit Fälligkeit</w:t>
            </w:r>
          </w:p>
        </w:tc>
        <w:tc>
          <w:tcPr>
            <w:tcW w:type="dxa" w:w="1134"/>
          </w:tcPr>
          <w:p>
            <w:pPr>
              <w:spacing w:after="0"/>
            </w:pPr>
            <w:r>
              <w:rPr>
                <w:b w:val="0"/>
                <w:sz w:val="19"/>
              </w:rPr>
              <w:t>9,0</w:t>
            </w:r>
          </w:p>
        </w:tc>
      </w:tr>
      <w:tr>
        <w:tc>
          <w:tcPr>
            <w:tcW w:type="dxa" w:w="794"/>
          </w:tcPr>
          <w:p>
            <w:pPr>
              <w:spacing w:after="0"/>
            </w:pPr>
            <w:r>
              <w:rPr>
                <w:b w:val="0"/>
                <w:sz w:val="19"/>
              </w:rPr>
              <w:t>2.9</w:t>
            </w:r>
          </w:p>
        </w:tc>
        <w:tc>
          <w:tcPr>
            <w:tcW w:type="dxa" w:w="7710"/>
          </w:tcPr>
          <w:p>
            <w:pPr>
              <w:spacing w:after="0"/>
            </w:pPr>
            <w:r>
              <w:rPr>
                <w:b/>
                <w:sz w:val="19"/>
              </w:rPr>
              <w:t>Schulungsgeschäft:</w:t>
            </w:r>
            <w:r>
              <w:rPr>
                <w:b w:val="0"/>
                <w:sz w:val="19"/>
              </w:rPr>
              <w:t xml:space="preserve"> Kursarten VDI 6022 und VDI 2047, Seminartermine mit Ort und Kapazität, Mindestteilnehmerzahl, Anmeldung, Bestätigungs- und Erinnerungsmails, Dozentenverwaltung</w:t>
            </w:r>
          </w:p>
        </w:tc>
        <w:tc>
          <w:tcPr>
            <w:tcW w:type="dxa" w:w="1134"/>
          </w:tcPr>
          <w:p>
            <w:pPr>
              <w:spacing w:after="0"/>
            </w:pPr>
            <w:r>
              <w:rPr>
                <w:b w:val="0"/>
                <w:sz w:val="19"/>
              </w:rPr>
              <w:t>8,0</w:t>
            </w:r>
          </w:p>
        </w:tc>
      </w:tr>
      <w:tr>
        <w:tc>
          <w:tcPr>
            <w:tcW w:type="dxa" w:w="794"/>
            <w:shd w:val="clear" w:fill="DCE6F1"/>
          </w:tcPr>
          <w:p>
            <w:pPr>
              <w:spacing w:after="0"/>
            </w:pPr>
          </w:p>
        </w:tc>
        <w:tc>
          <w:tcPr>
            <w:tcW w:type="dxa" w:w="7710"/>
            <w:shd w:val="clear" w:fill="DCE6F1"/>
          </w:tcPr>
          <w:p>
            <w:pPr>
              <w:spacing w:after="0"/>
            </w:pPr>
            <w:r>
              <w:rPr>
                <w:b/>
                <w:sz w:val="19"/>
              </w:rPr>
              <w:t>Summe 2</w:t>
            </w:r>
          </w:p>
        </w:tc>
        <w:tc>
          <w:tcPr>
            <w:tcW w:type="dxa" w:w="1134"/>
            <w:shd w:val="clear" w:fill="DCE6F1"/>
          </w:tcPr>
          <w:p>
            <w:pPr>
              <w:spacing w:after="0"/>
            </w:pPr>
            <w:r>
              <w:rPr>
                <w:b/>
                <w:sz w:val="19"/>
              </w:rPr>
              <w:t>44,5</w:t>
            </w:r>
          </w:p>
        </w:tc>
      </w:tr>
    </w:tbl>
    <w:p/>
    <w:p>
      <w:pPr>
        <w:spacing w:before="280" w:after="0"/>
      </w:pPr>
      <w:r>
        <w:rPr>
          <w:rFonts w:ascii="Calibri" w:hAnsi="Calibri"/>
          <w:b/>
          <w:color w:val="7F7F7F"/>
          <w:sz w:val="15"/>
        </w:rPr>
        <w:t>AKTIVIERUNGSBEZOGEN</w:t>
      </w:r>
    </w:p>
    <w:p>
      <w:pPr>
        <w:spacing w:before="40" w:after="120"/>
        <w:pBdr>
          <w:bottom w:val="single" w:sz="8" w:space="2" w:color="1F4E79"/>
        </w:pBdr>
      </w:pPr>
      <w:r>
        <w:rPr>
          <w:b/>
          <w:color w:val="1F4E79"/>
          <w:sz w:val="26"/>
        </w:rPr>
        <w:t>3 · Kundenspezifische Entwicklung</w:t>
      </w:r>
    </w:p>
    <w:tbl>
      <w:tblPr>
        <w:tblStyle w:val="TableGrid"/>
        <w:tblW w:type="auto" w:w="0"/>
        <w:jc w:val="left"/>
        <w:tblLook w:firstColumn="1" w:firstRow="1" w:lastColumn="0" w:lastRow="0" w:noHBand="0" w:noVBand="1" w:val="04A0"/>
      </w:tblPr>
      <w:tblGrid>
        <w:gridCol w:w="3213"/>
        <w:gridCol w:w="3213"/>
        <w:gridCol w:w="3213"/>
      </w:tblGrid>
      <w:tr>
        <w:tc>
          <w:tcPr>
            <w:tcW w:type="dxa" w:w="794"/>
            <w:shd w:val="clear" w:fill="1F4E79"/>
          </w:tcPr>
          <w:p>
            <w:pPr>
              <w:spacing w:after="0"/>
            </w:pPr>
            <w:r>
              <w:rPr>
                <w:b/>
                <w:color w:val="FFFFFF"/>
                <w:sz w:val="19"/>
              </w:rPr>
              <w:t>Nr.</w:t>
            </w:r>
          </w:p>
        </w:tc>
        <w:tc>
          <w:tcPr>
            <w:tcW w:type="dxa" w:w="7710"/>
            <w:shd w:val="clear" w:fill="1F4E79"/>
          </w:tcPr>
          <w:p>
            <w:pPr>
              <w:spacing w:after="0"/>
            </w:pPr>
            <w:r>
              <w:rPr>
                <w:b/>
                <w:color w:val="FFFFFF"/>
                <w:sz w:val="19"/>
              </w:rPr>
              <w:t>Leistung</w:t>
            </w:r>
          </w:p>
        </w:tc>
        <w:tc>
          <w:tcPr>
            <w:tcW w:type="dxa" w:w="1134"/>
            <w:shd w:val="clear" w:fill="1F4E79"/>
          </w:tcPr>
          <w:p>
            <w:pPr>
              <w:spacing w:after="0"/>
            </w:pPr>
            <w:r>
              <w:rPr>
                <w:b/>
                <w:color w:val="FFFFFF"/>
                <w:sz w:val="19"/>
              </w:rPr>
              <w:t>PT</w:t>
            </w:r>
          </w:p>
        </w:tc>
      </w:tr>
      <w:tr>
        <w:tc>
          <w:tcPr>
            <w:tcW w:type="dxa" w:w="794"/>
          </w:tcPr>
          <w:p>
            <w:pPr>
              <w:spacing w:after="0"/>
            </w:pPr>
            <w:r>
              <w:rPr>
                <w:b w:val="0"/>
                <w:sz w:val="19"/>
              </w:rPr>
              <w:t>3.1</w:t>
            </w:r>
          </w:p>
        </w:tc>
        <w:tc>
          <w:tcPr>
            <w:tcW w:type="dxa" w:w="7710"/>
          </w:tcPr>
          <w:p>
            <w:pPr>
              <w:spacing w:after="0"/>
            </w:pPr>
            <w:r>
              <w:rPr>
                <w:b w:val="0"/>
                <w:sz w:val="19"/>
              </w:rPr>
              <w:t>Belegformulare im biotec-Layout: Angebot, Auftragsbestätigung, Lieferschein, Rechnung, Mahnung – Layouttreue ist bindende Anforderung</w:t>
            </w:r>
          </w:p>
        </w:tc>
        <w:tc>
          <w:tcPr>
            <w:tcW w:type="dxa" w:w="1134"/>
          </w:tcPr>
          <w:p>
            <w:pPr>
              <w:spacing w:after="0"/>
            </w:pPr>
            <w:r>
              <w:rPr>
                <w:b w:val="0"/>
                <w:sz w:val="19"/>
              </w:rPr>
              <w:t>5,0</w:t>
            </w:r>
          </w:p>
        </w:tc>
      </w:tr>
      <w:tr>
        <w:tc>
          <w:tcPr>
            <w:tcW w:type="dxa" w:w="794"/>
          </w:tcPr>
          <w:p>
            <w:pPr>
              <w:spacing w:after="0"/>
            </w:pPr>
            <w:r>
              <w:rPr>
                <w:b w:val="0"/>
                <w:sz w:val="19"/>
              </w:rPr>
              <w:t>3.2</w:t>
            </w:r>
          </w:p>
        </w:tc>
        <w:tc>
          <w:tcPr>
            <w:tcW w:type="dxa" w:w="7710"/>
          </w:tcPr>
          <w:p>
            <w:pPr>
              <w:spacing w:after="0"/>
            </w:pPr>
            <w:r>
              <w:rPr>
                <w:b w:val="0"/>
                <w:sz w:val="19"/>
              </w:rPr>
              <w:t>Teilnahmebescheinigung und Zertifikatsvorlage für die VDI-Schulungen</w:t>
            </w:r>
          </w:p>
        </w:tc>
        <w:tc>
          <w:tcPr>
            <w:tcW w:type="dxa" w:w="1134"/>
          </w:tcPr>
          <w:p>
            <w:pPr>
              <w:spacing w:after="0"/>
            </w:pPr>
            <w:r>
              <w:rPr>
                <w:b w:val="0"/>
                <w:sz w:val="19"/>
              </w:rPr>
              <w:t>2,0</w:t>
            </w:r>
          </w:p>
        </w:tc>
      </w:tr>
      <w:tr>
        <w:tc>
          <w:tcPr>
            <w:tcW w:type="dxa" w:w="794"/>
          </w:tcPr>
          <w:p>
            <w:pPr>
              <w:spacing w:after="0"/>
            </w:pPr>
            <w:r>
              <w:rPr>
                <w:b w:val="0"/>
                <w:sz w:val="19"/>
              </w:rPr>
              <w:t>3.3</w:t>
            </w:r>
          </w:p>
        </w:tc>
        <w:tc>
          <w:tcPr>
            <w:tcW w:type="dxa" w:w="7710"/>
          </w:tcPr>
          <w:p>
            <w:pPr>
              <w:spacing w:after="0"/>
            </w:pPr>
            <w:r>
              <w:rPr>
                <w:b w:val="0"/>
                <w:sz w:val="19"/>
              </w:rPr>
              <w:t>Erweiterungsmodul für den Anlagenstamm: VDI-Luftwerte, drei Kennungen je Anlage, Standortfelder – als eigenes Modul mit Quellcode</w:t>
            </w:r>
          </w:p>
        </w:tc>
        <w:tc>
          <w:tcPr>
            <w:tcW w:type="dxa" w:w="1134"/>
          </w:tcPr>
          <w:p>
            <w:pPr>
              <w:spacing w:after="0"/>
            </w:pPr>
            <w:r>
              <w:rPr>
                <w:b w:val="0"/>
                <w:sz w:val="19"/>
              </w:rPr>
              <w:t>3,0</w:t>
            </w:r>
          </w:p>
        </w:tc>
      </w:tr>
      <w:tr>
        <w:tc>
          <w:tcPr>
            <w:tcW w:type="dxa" w:w="794"/>
          </w:tcPr>
          <w:p>
            <w:pPr>
              <w:spacing w:after="0"/>
            </w:pPr>
            <w:r>
              <w:rPr>
                <w:b w:val="0"/>
                <w:sz w:val="19"/>
              </w:rPr>
              <w:t>3.4</w:t>
            </w:r>
          </w:p>
        </w:tc>
        <w:tc>
          <w:tcPr>
            <w:tcW w:type="dxa" w:w="7710"/>
          </w:tcPr>
          <w:p>
            <w:pPr>
              <w:spacing w:after="0"/>
            </w:pPr>
            <w:r>
              <w:rPr>
                <w:b w:val="0"/>
                <w:sz w:val="19"/>
              </w:rPr>
              <w:t>Arbeitsvorrat und Fälligkeitsübersicht der Wiederholungsprüfungen, Übergang von der Wartungsanfrage zum Angebot</w:t>
            </w:r>
          </w:p>
        </w:tc>
        <w:tc>
          <w:tcPr>
            <w:tcW w:type="dxa" w:w="1134"/>
          </w:tcPr>
          <w:p>
            <w:pPr>
              <w:spacing w:after="0"/>
            </w:pPr>
            <w:r>
              <w:rPr>
                <w:b w:val="0"/>
                <w:sz w:val="19"/>
              </w:rPr>
              <w:t>3,0</w:t>
            </w:r>
          </w:p>
        </w:tc>
      </w:tr>
      <w:tr>
        <w:tc>
          <w:tcPr>
            <w:tcW w:type="dxa" w:w="794"/>
            <w:shd w:val="clear" w:fill="DCE6F1"/>
          </w:tcPr>
          <w:p>
            <w:pPr>
              <w:spacing w:after="0"/>
            </w:pPr>
          </w:p>
        </w:tc>
        <w:tc>
          <w:tcPr>
            <w:tcW w:type="dxa" w:w="7710"/>
            <w:shd w:val="clear" w:fill="DCE6F1"/>
          </w:tcPr>
          <w:p>
            <w:pPr>
              <w:spacing w:after="0"/>
            </w:pPr>
            <w:r>
              <w:rPr>
                <w:b/>
                <w:sz w:val="19"/>
              </w:rPr>
              <w:t>Summe 3</w:t>
            </w:r>
          </w:p>
        </w:tc>
        <w:tc>
          <w:tcPr>
            <w:tcW w:type="dxa" w:w="1134"/>
            <w:shd w:val="clear" w:fill="DCE6F1"/>
          </w:tcPr>
          <w:p>
            <w:pPr>
              <w:spacing w:after="0"/>
            </w:pPr>
            <w:r>
              <w:rPr>
                <w:b/>
                <w:sz w:val="19"/>
              </w:rPr>
              <w:t>13,0</w:t>
            </w:r>
          </w:p>
        </w:tc>
      </w:tr>
    </w:tbl>
    <w:p/>
    <w:p>
      <w:pPr>
        <w:spacing w:before="280" w:after="0"/>
      </w:pPr>
      <w:r>
        <w:rPr>
          <w:rFonts w:ascii="Calibri" w:hAnsi="Calibri"/>
          <w:b/>
          <w:color w:val="7F7F7F"/>
          <w:sz w:val="15"/>
        </w:rPr>
        <w:t>AKTIVIERUNGSBEZOGEN</w:t>
      </w:r>
    </w:p>
    <w:p>
      <w:pPr>
        <w:spacing w:before="40" w:after="120"/>
        <w:pBdr>
          <w:bottom w:val="single" w:sz="8" w:space="2" w:color="1F4E79"/>
        </w:pBdr>
      </w:pPr>
      <w:r>
        <w:rPr>
          <w:b/>
          <w:color w:val="1F4E79"/>
          <w:sz w:val="26"/>
        </w:rPr>
        <w:t>4 · Schnittstellen</w:t>
      </w:r>
    </w:p>
    <w:tbl>
      <w:tblPr>
        <w:tblStyle w:val="TableGrid"/>
        <w:tblW w:type="auto" w:w="0"/>
        <w:jc w:val="left"/>
        <w:tblLook w:firstColumn="1" w:firstRow="1" w:lastColumn="0" w:lastRow="0" w:noHBand="0" w:noVBand="1" w:val="04A0"/>
      </w:tblPr>
      <w:tblGrid>
        <w:gridCol w:w="3213"/>
        <w:gridCol w:w="3213"/>
        <w:gridCol w:w="3213"/>
      </w:tblGrid>
      <w:tr>
        <w:tc>
          <w:tcPr>
            <w:tcW w:type="dxa" w:w="794"/>
            <w:shd w:val="clear" w:fill="1F4E79"/>
          </w:tcPr>
          <w:p>
            <w:pPr>
              <w:spacing w:after="0"/>
            </w:pPr>
            <w:r>
              <w:rPr>
                <w:b/>
                <w:color w:val="FFFFFF"/>
                <w:sz w:val="19"/>
              </w:rPr>
              <w:t>Nr.</w:t>
            </w:r>
          </w:p>
        </w:tc>
        <w:tc>
          <w:tcPr>
            <w:tcW w:type="dxa" w:w="7710"/>
            <w:shd w:val="clear" w:fill="1F4E79"/>
          </w:tcPr>
          <w:p>
            <w:pPr>
              <w:spacing w:after="0"/>
            </w:pPr>
            <w:r>
              <w:rPr>
                <w:b/>
                <w:color w:val="FFFFFF"/>
                <w:sz w:val="19"/>
              </w:rPr>
              <w:t>Leistung</w:t>
            </w:r>
          </w:p>
        </w:tc>
        <w:tc>
          <w:tcPr>
            <w:tcW w:type="dxa" w:w="1134"/>
            <w:shd w:val="clear" w:fill="1F4E79"/>
          </w:tcPr>
          <w:p>
            <w:pPr>
              <w:spacing w:after="0"/>
            </w:pPr>
            <w:r>
              <w:rPr>
                <w:b/>
                <w:color w:val="FFFFFF"/>
                <w:sz w:val="19"/>
              </w:rPr>
              <w:t>PT</w:t>
            </w:r>
          </w:p>
        </w:tc>
      </w:tr>
      <w:tr>
        <w:tc>
          <w:tcPr>
            <w:tcW w:type="dxa" w:w="794"/>
          </w:tcPr>
          <w:p>
            <w:pPr>
              <w:spacing w:after="0"/>
            </w:pPr>
            <w:r>
              <w:rPr>
                <w:b w:val="0"/>
                <w:sz w:val="19"/>
              </w:rPr>
              <w:t>4.1</w:t>
            </w:r>
          </w:p>
        </w:tc>
        <w:tc>
          <w:tcPr>
            <w:tcW w:type="dxa" w:w="7710"/>
          </w:tcPr>
          <w:p>
            <w:pPr>
              <w:spacing w:after="0"/>
            </w:pPr>
            <w:r>
              <w:rPr>
                <w:b/>
                <w:sz w:val="19"/>
              </w:rPr>
              <w:t>Stammdatenbrücke Odoo zum Gutachten-Altsystem:</w:t>
            </w:r>
            <w:r>
              <w:rPr>
                <w:b w:val="0"/>
                <w:sz w:val="19"/>
              </w:rPr>
              <w:t xml:space="preserve"> Analyse der Feldbedeutung, Anbindung, Erstabgleich, Dienstbetrieb mit Protokoll, Neuanlagen, Anpassung der Odoo-Oberfläche, gemeinsamer Einstieg, Abnahme</w:t>
            </w:r>
          </w:p>
        </w:tc>
        <w:tc>
          <w:tcPr>
            <w:tcW w:type="dxa" w:w="1134"/>
          </w:tcPr>
          <w:p>
            <w:pPr>
              <w:spacing w:after="0"/>
            </w:pPr>
            <w:r>
              <w:rPr>
                <w:b w:val="0"/>
                <w:sz w:val="19"/>
              </w:rPr>
              <w:t>17,0</w:t>
            </w:r>
          </w:p>
        </w:tc>
      </w:tr>
      <w:tr>
        <w:tc>
          <w:tcPr>
            <w:tcW w:type="dxa" w:w="794"/>
            <w:shd w:val="clear" w:fill="DCE6F1"/>
          </w:tcPr>
          <w:p>
            <w:pPr>
              <w:spacing w:after="0"/>
            </w:pPr>
          </w:p>
        </w:tc>
        <w:tc>
          <w:tcPr>
            <w:tcW w:type="dxa" w:w="7710"/>
            <w:shd w:val="clear" w:fill="DCE6F1"/>
          </w:tcPr>
          <w:p>
            <w:pPr>
              <w:spacing w:after="0"/>
            </w:pPr>
            <w:r>
              <w:rPr>
                <w:b/>
                <w:sz w:val="19"/>
              </w:rPr>
              <w:t>Summe 4</w:t>
            </w:r>
          </w:p>
        </w:tc>
        <w:tc>
          <w:tcPr>
            <w:tcW w:type="dxa" w:w="1134"/>
            <w:shd w:val="clear" w:fill="DCE6F1"/>
          </w:tcPr>
          <w:p>
            <w:pPr>
              <w:spacing w:after="0"/>
            </w:pPr>
            <w:r>
              <w:rPr>
                <w:b/>
                <w:sz w:val="19"/>
              </w:rPr>
              <w:t>17,0</w:t>
            </w:r>
          </w:p>
        </w:tc>
      </w:tr>
    </w:tbl>
    <w:p/>
    <w:p>
      <w:pPr>
        <w:spacing w:before="280" w:after="0"/>
      </w:pPr>
      <w:r>
        <w:rPr>
          <w:rFonts w:ascii="Calibri" w:hAnsi="Calibri"/>
          <w:b/>
          <w:color w:val="7F7F7F"/>
          <w:sz w:val="15"/>
        </w:rPr>
        <w:t>AKTIVIERUNGSBEZOGEN</w:t>
      </w:r>
    </w:p>
    <w:p>
      <w:pPr>
        <w:spacing w:before="40" w:after="120"/>
        <w:pBdr>
          <w:bottom w:val="single" w:sz="8" w:space="2" w:color="1F4E79"/>
        </w:pBdr>
      </w:pPr>
      <w:r>
        <w:rPr>
          <w:b/>
          <w:color w:val="1F4E79"/>
          <w:sz w:val="26"/>
        </w:rPr>
        <w:t>5 · Datenmigration</w:t>
      </w:r>
    </w:p>
    <w:tbl>
      <w:tblPr>
        <w:tblStyle w:val="TableGrid"/>
        <w:tblW w:type="auto" w:w="0"/>
        <w:jc w:val="left"/>
        <w:tblLook w:firstColumn="1" w:firstRow="1" w:lastColumn="0" w:lastRow="0" w:noHBand="0" w:noVBand="1" w:val="04A0"/>
      </w:tblPr>
      <w:tblGrid>
        <w:gridCol w:w="3213"/>
        <w:gridCol w:w="3213"/>
        <w:gridCol w:w="3213"/>
      </w:tblGrid>
      <w:tr>
        <w:tc>
          <w:tcPr>
            <w:tcW w:type="dxa" w:w="794"/>
            <w:shd w:val="clear" w:fill="1F4E79"/>
          </w:tcPr>
          <w:p>
            <w:pPr>
              <w:spacing w:after="0"/>
            </w:pPr>
            <w:r>
              <w:rPr>
                <w:b/>
                <w:color w:val="FFFFFF"/>
                <w:sz w:val="19"/>
              </w:rPr>
              <w:t>Nr.</w:t>
            </w:r>
          </w:p>
        </w:tc>
        <w:tc>
          <w:tcPr>
            <w:tcW w:type="dxa" w:w="7710"/>
            <w:shd w:val="clear" w:fill="1F4E79"/>
          </w:tcPr>
          <w:p>
            <w:pPr>
              <w:spacing w:after="0"/>
            </w:pPr>
            <w:r>
              <w:rPr>
                <w:b/>
                <w:color w:val="FFFFFF"/>
                <w:sz w:val="19"/>
              </w:rPr>
              <w:t>Leistung</w:t>
            </w:r>
          </w:p>
        </w:tc>
        <w:tc>
          <w:tcPr>
            <w:tcW w:type="dxa" w:w="1134"/>
            <w:shd w:val="clear" w:fill="1F4E79"/>
          </w:tcPr>
          <w:p>
            <w:pPr>
              <w:spacing w:after="0"/>
            </w:pPr>
            <w:r>
              <w:rPr>
                <w:b/>
                <w:color w:val="FFFFFF"/>
                <w:sz w:val="19"/>
              </w:rPr>
              <w:t>PT</w:t>
            </w:r>
          </w:p>
        </w:tc>
      </w:tr>
      <w:tr>
        <w:tc>
          <w:tcPr>
            <w:tcW w:type="dxa" w:w="794"/>
          </w:tcPr>
          <w:p>
            <w:pPr>
              <w:spacing w:after="0"/>
            </w:pPr>
            <w:r>
              <w:rPr>
                <w:b w:val="0"/>
                <w:sz w:val="19"/>
              </w:rPr>
              <w:t>5.1</w:t>
            </w:r>
          </w:p>
        </w:tc>
        <w:tc>
          <w:tcPr>
            <w:tcW w:type="dxa" w:w="7710"/>
          </w:tcPr>
          <w:p>
            <w:pPr>
              <w:spacing w:after="0"/>
            </w:pPr>
            <w:r>
              <w:rPr>
                <w:b w:val="0"/>
                <w:sz w:val="19"/>
              </w:rPr>
              <w:t>Kunden, Ansprechpartner, Werke und Gebäude – Neuaufbau aus der vorhandenen Kontaktliste inklusive Bereinigung</w:t>
            </w:r>
          </w:p>
        </w:tc>
        <w:tc>
          <w:tcPr>
            <w:tcW w:type="dxa" w:w="1134"/>
          </w:tcPr>
          <w:p>
            <w:pPr>
              <w:spacing w:after="0"/>
            </w:pPr>
            <w:r>
              <w:rPr>
                <w:b w:val="0"/>
                <w:sz w:val="19"/>
              </w:rPr>
              <w:t>6,0</w:t>
            </w:r>
          </w:p>
        </w:tc>
      </w:tr>
      <w:tr>
        <w:tc>
          <w:tcPr>
            <w:tcW w:type="dxa" w:w="794"/>
          </w:tcPr>
          <w:p>
            <w:pPr>
              <w:spacing w:after="0"/>
            </w:pPr>
            <w:r>
              <w:rPr>
                <w:b w:val="0"/>
                <w:sz w:val="19"/>
              </w:rPr>
              <w:t>5.2</w:t>
            </w:r>
          </w:p>
        </w:tc>
        <w:tc>
          <w:tcPr>
            <w:tcW w:type="dxa" w:w="7710"/>
          </w:tcPr>
          <w:p>
            <w:pPr>
              <w:spacing w:after="0"/>
            </w:pPr>
            <w:r>
              <w:rPr>
                <w:b w:val="0"/>
                <w:sz w:val="19"/>
              </w:rPr>
              <w:t>Anlagenstamm mit 938 RLT-Anlagen: Übernahme, Bereinigung der Hersteller- und Wartungsfirmenschreibweisen, Umsetzung der Zahlenformate, Aussonderung der Testdatensätze</w:t>
            </w:r>
          </w:p>
        </w:tc>
        <w:tc>
          <w:tcPr>
            <w:tcW w:type="dxa" w:w="1134"/>
          </w:tcPr>
          <w:p>
            <w:pPr>
              <w:spacing w:after="0"/>
            </w:pPr>
            <w:r>
              <w:rPr>
                <w:b w:val="0"/>
                <w:sz w:val="19"/>
              </w:rPr>
              <w:t>5,0</w:t>
            </w:r>
          </w:p>
        </w:tc>
      </w:tr>
      <w:tr>
        <w:tc>
          <w:tcPr>
            <w:tcW w:type="dxa" w:w="794"/>
          </w:tcPr>
          <w:p>
            <w:pPr>
              <w:spacing w:after="0"/>
            </w:pPr>
            <w:r>
              <w:rPr>
                <w:b w:val="0"/>
                <w:sz w:val="19"/>
              </w:rPr>
              <w:t>5.3</w:t>
            </w:r>
          </w:p>
        </w:tc>
        <w:tc>
          <w:tcPr>
            <w:tcW w:type="dxa" w:w="7710"/>
          </w:tcPr>
          <w:p>
            <w:pPr>
              <w:spacing w:after="0"/>
            </w:pPr>
            <w:r>
              <w:rPr>
                <w:b w:val="0"/>
                <w:sz w:val="19"/>
              </w:rPr>
              <w:t>Lieferanten und Fremdlabore aus Kreditorenstamm und Eingangsrechnungen</w:t>
            </w:r>
          </w:p>
        </w:tc>
        <w:tc>
          <w:tcPr>
            <w:tcW w:type="dxa" w:w="1134"/>
          </w:tcPr>
          <w:p>
            <w:pPr>
              <w:spacing w:after="0"/>
            </w:pPr>
            <w:r>
              <w:rPr>
                <w:b w:val="0"/>
                <w:sz w:val="19"/>
              </w:rPr>
              <w:t>3,0</w:t>
            </w:r>
          </w:p>
        </w:tc>
      </w:tr>
      <w:tr>
        <w:tc>
          <w:tcPr>
            <w:tcW w:type="dxa" w:w="794"/>
          </w:tcPr>
          <w:p>
            <w:pPr>
              <w:spacing w:after="0"/>
            </w:pPr>
            <w:r>
              <w:rPr>
                <w:b w:val="0"/>
                <w:sz w:val="19"/>
              </w:rPr>
              <w:t>5.4</w:t>
            </w:r>
          </w:p>
        </w:tc>
        <w:tc>
          <w:tcPr>
            <w:tcW w:type="dxa" w:w="7710"/>
          </w:tcPr>
          <w:p>
            <w:pPr>
              <w:spacing w:after="0"/>
            </w:pPr>
            <w:r>
              <w:rPr>
                <w:b w:val="0"/>
                <w:sz w:val="19"/>
              </w:rPr>
              <w:t>Leistungen, Artikel, Verbrauchsmaterial und Kurskatalog</w:t>
            </w:r>
          </w:p>
        </w:tc>
        <w:tc>
          <w:tcPr>
            <w:tcW w:type="dxa" w:w="1134"/>
          </w:tcPr>
          <w:p>
            <w:pPr>
              <w:spacing w:after="0"/>
            </w:pPr>
            <w:r>
              <w:rPr>
                <w:b w:val="0"/>
                <w:sz w:val="19"/>
              </w:rPr>
              <w:t>2,0</w:t>
            </w:r>
          </w:p>
        </w:tc>
      </w:tr>
      <w:tr>
        <w:tc>
          <w:tcPr>
            <w:tcW w:type="dxa" w:w="794"/>
          </w:tcPr>
          <w:p>
            <w:pPr>
              <w:spacing w:after="0"/>
            </w:pPr>
            <w:r>
              <w:rPr>
                <w:b w:val="0"/>
                <w:sz w:val="19"/>
              </w:rPr>
              <w:t>5.5</w:t>
            </w:r>
          </w:p>
        </w:tc>
        <w:tc>
          <w:tcPr>
            <w:tcW w:type="dxa" w:w="7710"/>
          </w:tcPr>
          <w:p>
            <w:pPr>
              <w:spacing w:after="0"/>
            </w:pPr>
            <w:r>
              <w:rPr>
                <w:b w:val="0"/>
                <w:sz w:val="19"/>
              </w:rPr>
              <w:t>Kontenrahmen, offene Posten, Saldenvortrag zum Stichtag</w:t>
            </w:r>
          </w:p>
        </w:tc>
        <w:tc>
          <w:tcPr>
            <w:tcW w:type="dxa" w:w="1134"/>
          </w:tcPr>
          <w:p>
            <w:pPr>
              <w:spacing w:after="0"/>
            </w:pPr>
            <w:r>
              <w:rPr>
                <w:b w:val="0"/>
                <w:sz w:val="19"/>
              </w:rPr>
              <w:t>4,0</w:t>
            </w:r>
          </w:p>
        </w:tc>
      </w:tr>
      <w:tr>
        <w:tc>
          <w:tcPr>
            <w:tcW w:type="dxa" w:w="794"/>
          </w:tcPr>
          <w:p>
            <w:pPr>
              <w:spacing w:after="0"/>
            </w:pPr>
            <w:r>
              <w:rPr>
                <w:b w:val="0"/>
                <w:sz w:val="19"/>
              </w:rPr>
              <w:t>5.6</w:t>
            </w:r>
          </w:p>
        </w:tc>
        <w:tc>
          <w:tcPr>
            <w:tcW w:type="dxa" w:w="7710"/>
          </w:tcPr>
          <w:p>
            <w:pPr>
              <w:spacing w:after="0"/>
            </w:pPr>
            <w:r>
              <w:rPr>
                <w:b w:val="0"/>
                <w:sz w:val="19"/>
              </w:rPr>
              <w:t>Lagerbestand aus der Stichtagsinventur</w:t>
            </w:r>
          </w:p>
        </w:tc>
        <w:tc>
          <w:tcPr>
            <w:tcW w:type="dxa" w:w="1134"/>
          </w:tcPr>
          <w:p>
            <w:pPr>
              <w:spacing w:after="0"/>
            </w:pPr>
            <w:r>
              <w:rPr>
                <w:b w:val="0"/>
                <w:sz w:val="19"/>
              </w:rPr>
              <w:t>1,5</w:t>
            </w:r>
          </w:p>
        </w:tc>
      </w:tr>
      <w:tr>
        <w:tc>
          <w:tcPr>
            <w:tcW w:type="dxa" w:w="794"/>
          </w:tcPr>
          <w:p>
            <w:pPr>
              <w:spacing w:after="0"/>
            </w:pPr>
            <w:r>
              <w:rPr>
                <w:b w:val="0"/>
                <w:sz w:val="19"/>
              </w:rPr>
              <w:t>5.7</w:t>
            </w:r>
          </w:p>
        </w:tc>
        <w:tc>
          <w:tcPr>
            <w:tcW w:type="dxa" w:w="7710"/>
          </w:tcPr>
          <w:p>
            <w:pPr>
              <w:spacing w:after="0"/>
            </w:pPr>
            <w:r>
              <w:rPr>
                <w:b w:val="0"/>
                <w:sz w:val="19"/>
              </w:rPr>
              <w:t>Importmethodik mit externen Kennungen, Probeläufe, Abstimmung der Summen mit der Buchhaltung</w:t>
            </w:r>
          </w:p>
        </w:tc>
        <w:tc>
          <w:tcPr>
            <w:tcW w:type="dxa" w:w="1134"/>
          </w:tcPr>
          <w:p>
            <w:pPr>
              <w:spacing w:after="0"/>
            </w:pPr>
            <w:r>
              <w:rPr>
                <w:b w:val="0"/>
                <w:sz w:val="19"/>
              </w:rPr>
              <w:t>3,0</w:t>
            </w:r>
          </w:p>
        </w:tc>
      </w:tr>
      <w:tr>
        <w:tc>
          <w:tcPr>
            <w:tcW w:type="dxa" w:w="794"/>
            <w:shd w:val="clear" w:fill="DCE6F1"/>
          </w:tcPr>
          <w:p>
            <w:pPr>
              <w:spacing w:after="0"/>
            </w:pPr>
          </w:p>
        </w:tc>
        <w:tc>
          <w:tcPr>
            <w:tcW w:type="dxa" w:w="7710"/>
            <w:shd w:val="clear" w:fill="DCE6F1"/>
          </w:tcPr>
          <w:p>
            <w:pPr>
              <w:spacing w:after="0"/>
            </w:pPr>
            <w:r>
              <w:rPr>
                <w:b/>
                <w:sz w:val="19"/>
              </w:rPr>
              <w:t>Summe 5</w:t>
            </w:r>
          </w:p>
        </w:tc>
        <w:tc>
          <w:tcPr>
            <w:tcW w:type="dxa" w:w="1134"/>
            <w:shd w:val="clear" w:fill="DCE6F1"/>
          </w:tcPr>
          <w:p>
            <w:pPr>
              <w:spacing w:after="0"/>
            </w:pPr>
            <w:r>
              <w:rPr>
                <w:b/>
                <w:sz w:val="19"/>
              </w:rPr>
              <w:t>24,5</w:t>
            </w:r>
          </w:p>
        </w:tc>
      </w:tr>
    </w:tbl>
    <w:p/>
    <w:p>
      <w:pPr>
        <w:spacing w:before="280" w:after="0"/>
      </w:pPr>
      <w:r>
        <w:rPr>
          <w:rFonts w:ascii="Calibri" w:hAnsi="Calibri"/>
          <w:b/>
          <w:color w:val="7F7F7F"/>
          <w:sz w:val="15"/>
        </w:rPr>
        <w:t>AKTIVIERUNGSBEZOGEN</w:t>
      </w:r>
    </w:p>
    <w:p>
      <w:pPr>
        <w:spacing w:before="40" w:after="120"/>
        <w:pBdr>
          <w:bottom w:val="single" w:sz="8" w:space="2" w:color="1F4E79"/>
        </w:pBdr>
      </w:pPr>
      <w:r>
        <w:rPr>
          <w:b/>
          <w:color w:val="1F4E79"/>
          <w:sz w:val="26"/>
        </w:rPr>
        <w:t>6 · Integration und Test</w:t>
      </w:r>
    </w:p>
    <w:tbl>
      <w:tblPr>
        <w:tblStyle w:val="TableGrid"/>
        <w:tblW w:type="auto" w:w="0"/>
        <w:jc w:val="left"/>
        <w:tblLook w:firstColumn="1" w:firstRow="1" w:lastColumn="0" w:lastRow="0" w:noHBand="0" w:noVBand="1" w:val="04A0"/>
      </w:tblPr>
      <w:tblGrid>
        <w:gridCol w:w="3213"/>
        <w:gridCol w:w="3213"/>
        <w:gridCol w:w="3213"/>
      </w:tblGrid>
      <w:tr>
        <w:tc>
          <w:tcPr>
            <w:tcW w:type="dxa" w:w="794"/>
            <w:shd w:val="clear" w:fill="1F4E79"/>
          </w:tcPr>
          <w:p>
            <w:pPr>
              <w:spacing w:after="0"/>
            </w:pPr>
            <w:r>
              <w:rPr>
                <w:b/>
                <w:color w:val="FFFFFF"/>
                <w:sz w:val="19"/>
              </w:rPr>
              <w:t>Nr.</w:t>
            </w:r>
          </w:p>
        </w:tc>
        <w:tc>
          <w:tcPr>
            <w:tcW w:type="dxa" w:w="7710"/>
            <w:shd w:val="clear" w:fill="1F4E79"/>
          </w:tcPr>
          <w:p>
            <w:pPr>
              <w:spacing w:after="0"/>
            </w:pPr>
            <w:r>
              <w:rPr>
                <w:b/>
                <w:color w:val="FFFFFF"/>
                <w:sz w:val="19"/>
              </w:rPr>
              <w:t>Leistung</w:t>
            </w:r>
          </w:p>
        </w:tc>
        <w:tc>
          <w:tcPr>
            <w:tcW w:type="dxa" w:w="1134"/>
            <w:shd w:val="clear" w:fill="1F4E79"/>
          </w:tcPr>
          <w:p>
            <w:pPr>
              <w:spacing w:after="0"/>
            </w:pPr>
            <w:r>
              <w:rPr>
                <w:b/>
                <w:color w:val="FFFFFF"/>
                <w:sz w:val="19"/>
              </w:rPr>
              <w:t>PT</w:t>
            </w:r>
          </w:p>
        </w:tc>
      </w:tr>
      <w:tr>
        <w:tc>
          <w:tcPr>
            <w:tcW w:type="dxa" w:w="794"/>
          </w:tcPr>
          <w:p>
            <w:pPr>
              <w:spacing w:after="0"/>
            </w:pPr>
            <w:r>
              <w:rPr>
                <w:b w:val="0"/>
                <w:sz w:val="19"/>
              </w:rPr>
              <w:t>6.1</w:t>
            </w:r>
          </w:p>
        </w:tc>
        <w:tc>
          <w:tcPr>
            <w:tcW w:type="dxa" w:w="7710"/>
          </w:tcPr>
          <w:p>
            <w:pPr>
              <w:spacing w:after="0"/>
            </w:pPr>
            <w:r>
              <w:rPr>
                <w:b w:val="0"/>
                <w:sz w:val="19"/>
              </w:rPr>
              <w:t>Funktionstests je Modul, rund 60 Testfälle mit dokumentiertem Ergebnis</w:t>
            </w:r>
          </w:p>
        </w:tc>
        <w:tc>
          <w:tcPr>
            <w:tcW w:type="dxa" w:w="1134"/>
          </w:tcPr>
          <w:p>
            <w:pPr>
              <w:spacing w:after="0"/>
            </w:pPr>
            <w:r>
              <w:rPr>
                <w:b w:val="0"/>
                <w:sz w:val="19"/>
              </w:rPr>
              <w:t>9,0</w:t>
            </w:r>
          </w:p>
        </w:tc>
      </w:tr>
      <w:tr>
        <w:tc>
          <w:tcPr>
            <w:tcW w:type="dxa" w:w="794"/>
          </w:tcPr>
          <w:p>
            <w:pPr>
              <w:spacing w:after="0"/>
            </w:pPr>
            <w:r>
              <w:rPr>
                <w:b w:val="0"/>
                <w:sz w:val="19"/>
              </w:rPr>
              <w:t>6.2</w:t>
            </w:r>
          </w:p>
        </w:tc>
        <w:tc>
          <w:tcPr>
            <w:tcW w:type="dxa" w:w="7710"/>
          </w:tcPr>
          <w:p>
            <w:pPr>
              <w:spacing w:after="0"/>
            </w:pPr>
            <w:r>
              <w:rPr>
                <w:b w:val="0"/>
                <w:sz w:val="19"/>
              </w:rPr>
              <w:t>Durchgängige Prozesstests: Auftrag bis Rechnung, Kurs von der Anmeldung bis zur Bescheinigung, Einkauf bis Lieferantenrechnung</w:t>
            </w:r>
          </w:p>
        </w:tc>
        <w:tc>
          <w:tcPr>
            <w:tcW w:type="dxa" w:w="1134"/>
          </w:tcPr>
          <w:p>
            <w:pPr>
              <w:spacing w:after="0"/>
            </w:pPr>
            <w:r>
              <w:rPr>
                <w:b w:val="0"/>
                <w:sz w:val="19"/>
              </w:rPr>
              <w:t>6,0</w:t>
            </w:r>
          </w:p>
        </w:tc>
      </w:tr>
      <w:tr>
        <w:tc>
          <w:tcPr>
            <w:tcW w:type="dxa" w:w="794"/>
          </w:tcPr>
          <w:p>
            <w:pPr>
              <w:spacing w:after="0"/>
            </w:pPr>
            <w:r>
              <w:rPr>
                <w:b w:val="0"/>
                <w:sz w:val="19"/>
              </w:rPr>
              <w:t>6.3</w:t>
            </w:r>
          </w:p>
        </w:tc>
        <w:tc>
          <w:tcPr>
            <w:tcW w:type="dxa" w:w="7710"/>
          </w:tcPr>
          <w:p>
            <w:pPr>
              <w:spacing w:after="0"/>
            </w:pPr>
            <w:r>
              <w:rPr>
                <w:b w:val="0"/>
                <w:sz w:val="19"/>
              </w:rPr>
              <w:t>Betriebssimulation über einen Monat mit dem Fachbereich, mit echten Fällen</w:t>
            </w:r>
          </w:p>
        </w:tc>
        <w:tc>
          <w:tcPr>
            <w:tcW w:type="dxa" w:w="1134"/>
          </w:tcPr>
          <w:p>
            <w:pPr>
              <w:spacing w:after="0"/>
            </w:pPr>
            <w:r>
              <w:rPr>
                <w:b w:val="0"/>
                <w:sz w:val="19"/>
              </w:rPr>
              <w:t>4,0</w:t>
            </w:r>
          </w:p>
        </w:tc>
      </w:tr>
      <w:tr>
        <w:tc>
          <w:tcPr>
            <w:tcW w:type="dxa" w:w="794"/>
          </w:tcPr>
          <w:p>
            <w:pPr>
              <w:spacing w:after="0"/>
            </w:pPr>
            <w:r>
              <w:rPr>
                <w:b w:val="0"/>
                <w:sz w:val="19"/>
              </w:rPr>
              <w:t>6.4</w:t>
            </w:r>
          </w:p>
        </w:tc>
        <w:tc>
          <w:tcPr>
            <w:tcW w:type="dxa" w:w="7710"/>
          </w:tcPr>
          <w:p>
            <w:pPr>
              <w:spacing w:after="0"/>
            </w:pPr>
            <w:r>
              <w:rPr>
                <w:b w:val="0"/>
                <w:sz w:val="19"/>
              </w:rPr>
              <w:t>Fehlerbehebung und Abnahmeprotokolle je Workstream</w:t>
            </w:r>
          </w:p>
        </w:tc>
        <w:tc>
          <w:tcPr>
            <w:tcW w:type="dxa" w:w="1134"/>
          </w:tcPr>
          <w:p>
            <w:pPr>
              <w:spacing w:after="0"/>
            </w:pPr>
            <w:r>
              <w:rPr>
                <w:b w:val="0"/>
                <w:sz w:val="19"/>
              </w:rPr>
              <w:t>4,0</w:t>
            </w:r>
          </w:p>
        </w:tc>
      </w:tr>
      <w:tr>
        <w:tc>
          <w:tcPr>
            <w:tcW w:type="dxa" w:w="794"/>
            <w:shd w:val="clear" w:fill="DCE6F1"/>
          </w:tcPr>
          <w:p>
            <w:pPr>
              <w:spacing w:after="0"/>
            </w:pPr>
          </w:p>
        </w:tc>
        <w:tc>
          <w:tcPr>
            <w:tcW w:type="dxa" w:w="7710"/>
            <w:shd w:val="clear" w:fill="DCE6F1"/>
          </w:tcPr>
          <w:p>
            <w:pPr>
              <w:spacing w:after="0"/>
            </w:pPr>
            <w:r>
              <w:rPr>
                <w:b/>
                <w:sz w:val="19"/>
              </w:rPr>
              <w:t>Summe 6</w:t>
            </w:r>
          </w:p>
        </w:tc>
        <w:tc>
          <w:tcPr>
            <w:tcW w:type="dxa" w:w="1134"/>
            <w:shd w:val="clear" w:fill="DCE6F1"/>
          </w:tcPr>
          <w:p>
            <w:pPr>
              <w:spacing w:after="0"/>
            </w:pPr>
            <w:r>
              <w:rPr>
                <w:b/>
                <w:sz w:val="19"/>
              </w:rPr>
              <w:t>23,0</w:t>
            </w:r>
          </w:p>
        </w:tc>
      </w:tr>
    </w:tbl>
    <w:p/>
    <w:p>
      <w:pPr>
        <w:spacing w:before="280" w:after="0"/>
      </w:pPr>
      <w:r>
        <w:rPr>
          <w:rFonts w:ascii="Calibri" w:hAnsi="Calibri"/>
          <w:b/>
          <w:color w:val="7F7F7F"/>
          <w:sz w:val="15"/>
        </w:rPr>
        <w:t>AUFWAND</w:t>
      </w:r>
    </w:p>
    <w:p>
      <w:pPr>
        <w:spacing w:before="40" w:after="120"/>
        <w:pBdr>
          <w:bottom w:val="single" w:sz="8" w:space="2" w:color="1F4E79"/>
        </w:pBdr>
      </w:pPr>
      <w:r>
        <w:rPr>
          <w:b/>
          <w:color w:val="1F4E79"/>
          <w:sz w:val="26"/>
        </w:rPr>
        <w:t>7 · Schulung und Einführungsbegleitung</w:t>
      </w:r>
    </w:p>
    <w:tbl>
      <w:tblPr>
        <w:tblStyle w:val="TableGrid"/>
        <w:tblW w:type="auto" w:w="0"/>
        <w:jc w:val="left"/>
        <w:tblLook w:firstColumn="1" w:firstRow="1" w:lastColumn="0" w:lastRow="0" w:noHBand="0" w:noVBand="1" w:val="04A0"/>
      </w:tblPr>
      <w:tblGrid>
        <w:gridCol w:w="3213"/>
        <w:gridCol w:w="3213"/>
        <w:gridCol w:w="3213"/>
      </w:tblGrid>
      <w:tr>
        <w:tc>
          <w:tcPr>
            <w:tcW w:type="dxa" w:w="794"/>
            <w:shd w:val="clear" w:fill="1F4E79"/>
          </w:tcPr>
          <w:p>
            <w:pPr>
              <w:spacing w:after="0"/>
            </w:pPr>
            <w:r>
              <w:rPr>
                <w:b/>
                <w:color w:val="FFFFFF"/>
                <w:sz w:val="19"/>
              </w:rPr>
              <w:t>Nr.</w:t>
            </w:r>
          </w:p>
        </w:tc>
        <w:tc>
          <w:tcPr>
            <w:tcW w:type="dxa" w:w="7710"/>
            <w:shd w:val="clear" w:fill="1F4E79"/>
          </w:tcPr>
          <w:p>
            <w:pPr>
              <w:spacing w:after="0"/>
            </w:pPr>
            <w:r>
              <w:rPr>
                <w:b/>
                <w:color w:val="FFFFFF"/>
                <w:sz w:val="19"/>
              </w:rPr>
              <w:t>Leistung</w:t>
            </w:r>
          </w:p>
        </w:tc>
        <w:tc>
          <w:tcPr>
            <w:tcW w:type="dxa" w:w="1134"/>
            <w:shd w:val="clear" w:fill="1F4E79"/>
          </w:tcPr>
          <w:p>
            <w:pPr>
              <w:spacing w:after="0"/>
            </w:pPr>
            <w:r>
              <w:rPr>
                <w:b/>
                <w:color w:val="FFFFFF"/>
                <w:sz w:val="19"/>
              </w:rPr>
              <w:t>PT</w:t>
            </w:r>
          </w:p>
        </w:tc>
      </w:tr>
      <w:tr>
        <w:tc>
          <w:tcPr>
            <w:tcW w:type="dxa" w:w="794"/>
          </w:tcPr>
          <w:p>
            <w:pPr>
              <w:spacing w:after="0"/>
            </w:pPr>
            <w:r>
              <w:rPr>
                <w:b w:val="0"/>
                <w:sz w:val="19"/>
              </w:rPr>
              <w:t>7.1</w:t>
            </w:r>
          </w:p>
        </w:tc>
        <w:tc>
          <w:tcPr>
            <w:tcW w:type="dxa" w:w="7710"/>
          </w:tcPr>
          <w:p>
            <w:pPr>
              <w:spacing w:after="0"/>
            </w:pPr>
            <w:r>
              <w:rPr>
                <w:b w:val="0"/>
                <w:sz w:val="19"/>
              </w:rPr>
              <w:t>Anwenderleitfäden je Rolle mit den tatsächlichen Abläufen bei biotec</w:t>
            </w:r>
          </w:p>
        </w:tc>
        <w:tc>
          <w:tcPr>
            <w:tcW w:type="dxa" w:w="1134"/>
          </w:tcPr>
          <w:p>
            <w:pPr>
              <w:spacing w:after="0"/>
            </w:pPr>
            <w:r>
              <w:rPr>
                <w:b w:val="0"/>
                <w:sz w:val="19"/>
              </w:rPr>
              <w:t>3,0</w:t>
            </w:r>
          </w:p>
        </w:tc>
      </w:tr>
      <w:tr>
        <w:tc>
          <w:tcPr>
            <w:tcW w:type="dxa" w:w="794"/>
          </w:tcPr>
          <w:p>
            <w:pPr>
              <w:spacing w:after="0"/>
            </w:pPr>
            <w:r>
              <w:rPr>
                <w:b w:val="0"/>
                <w:sz w:val="19"/>
              </w:rPr>
              <w:t>7.2</w:t>
            </w:r>
          </w:p>
        </w:tc>
        <w:tc>
          <w:tcPr>
            <w:tcW w:type="dxa" w:w="7710"/>
          </w:tcPr>
          <w:p>
            <w:pPr>
              <w:spacing w:after="0"/>
            </w:pPr>
            <w:r>
              <w:rPr>
                <w:b/>
                <w:sz w:val="19"/>
              </w:rPr>
              <w:t>Vor-Ort-Schulung in Gütersloh, drei Tage:</w:t>
            </w:r>
            <w:r>
              <w:rPr>
                <w:b w:val="0"/>
                <w:sz w:val="19"/>
              </w:rPr>
              <w:t xml:space="preserve"> zwei Tage für die vier Kernnutzer, ein Tag für die weiteren Rollen in Labor, Verwaltung und Buchhaltung</w:t>
            </w:r>
          </w:p>
        </w:tc>
        <w:tc>
          <w:tcPr>
            <w:tcW w:type="dxa" w:w="1134"/>
          </w:tcPr>
          <w:p>
            <w:pPr>
              <w:spacing w:after="0"/>
            </w:pPr>
            <w:r>
              <w:rPr>
                <w:b w:val="0"/>
                <w:sz w:val="19"/>
              </w:rPr>
              <w:t>3,0</w:t>
            </w:r>
          </w:p>
        </w:tc>
      </w:tr>
      <w:tr>
        <w:tc>
          <w:tcPr>
            <w:tcW w:type="dxa" w:w="794"/>
          </w:tcPr>
          <w:p>
            <w:pPr>
              <w:spacing w:after="0"/>
            </w:pPr>
            <w:r>
              <w:rPr>
                <w:b w:val="0"/>
                <w:sz w:val="19"/>
              </w:rPr>
              <w:t>7.3</w:t>
            </w:r>
          </w:p>
        </w:tc>
        <w:tc>
          <w:tcPr>
            <w:tcW w:type="dxa" w:w="7710"/>
          </w:tcPr>
          <w:p>
            <w:pPr>
              <w:spacing w:after="0"/>
            </w:pPr>
            <w:r>
              <w:rPr>
                <w:b w:val="0"/>
                <w:sz w:val="19"/>
              </w:rPr>
              <w:t>An- und Abreise</w:t>
            </w:r>
          </w:p>
        </w:tc>
        <w:tc>
          <w:tcPr>
            <w:tcW w:type="dxa" w:w="1134"/>
          </w:tcPr>
          <w:p>
            <w:pPr>
              <w:spacing w:after="0"/>
            </w:pPr>
            <w:r>
              <w:rPr>
                <w:b w:val="0"/>
                <w:sz w:val="19"/>
              </w:rPr>
              <w:t>1,0</w:t>
            </w:r>
          </w:p>
        </w:tc>
      </w:tr>
      <w:tr>
        <w:tc>
          <w:tcPr>
            <w:tcW w:type="dxa" w:w="794"/>
          </w:tcPr>
          <w:p>
            <w:pPr>
              <w:spacing w:after="0"/>
            </w:pPr>
            <w:r>
              <w:rPr>
                <w:b w:val="0"/>
                <w:sz w:val="19"/>
              </w:rPr>
              <w:t>7.4</w:t>
            </w:r>
          </w:p>
        </w:tc>
        <w:tc>
          <w:tcPr>
            <w:tcW w:type="dxa" w:w="7710"/>
          </w:tcPr>
          <w:p>
            <w:pPr>
              <w:spacing w:after="0"/>
            </w:pPr>
            <w:r>
              <w:rPr>
                <w:b w:val="0"/>
                <w:sz w:val="19"/>
              </w:rPr>
              <w:t>Nachschulung vier Wochen nach dem Start, aus der Ferne</w:t>
            </w:r>
          </w:p>
        </w:tc>
        <w:tc>
          <w:tcPr>
            <w:tcW w:type="dxa" w:w="1134"/>
          </w:tcPr>
          <w:p>
            <w:pPr>
              <w:spacing w:after="0"/>
            </w:pPr>
            <w:r>
              <w:rPr>
                <w:b w:val="0"/>
                <w:sz w:val="19"/>
              </w:rPr>
              <w:t>1,0</w:t>
            </w:r>
          </w:p>
        </w:tc>
      </w:tr>
      <w:tr>
        <w:tc>
          <w:tcPr>
            <w:tcW w:type="dxa" w:w="794"/>
            <w:shd w:val="clear" w:fill="DCE6F1"/>
          </w:tcPr>
          <w:p>
            <w:pPr>
              <w:spacing w:after="0"/>
            </w:pPr>
          </w:p>
        </w:tc>
        <w:tc>
          <w:tcPr>
            <w:tcW w:type="dxa" w:w="7710"/>
            <w:shd w:val="clear" w:fill="DCE6F1"/>
          </w:tcPr>
          <w:p>
            <w:pPr>
              <w:spacing w:after="0"/>
            </w:pPr>
            <w:r>
              <w:rPr>
                <w:b/>
                <w:sz w:val="19"/>
              </w:rPr>
              <w:t>Summe 7</w:t>
            </w:r>
          </w:p>
        </w:tc>
        <w:tc>
          <w:tcPr>
            <w:tcW w:type="dxa" w:w="1134"/>
            <w:shd w:val="clear" w:fill="DCE6F1"/>
          </w:tcPr>
          <w:p>
            <w:pPr>
              <w:spacing w:after="0"/>
            </w:pPr>
            <w:r>
              <w:rPr>
                <w:b/>
                <w:sz w:val="19"/>
              </w:rPr>
              <w:t>8,0</w:t>
            </w:r>
          </w:p>
        </w:tc>
      </w:tr>
    </w:tbl>
    <w:p/>
    <w:p>
      <w:pPr>
        <w:spacing w:before="280" w:after="0"/>
      </w:pPr>
      <w:r>
        <w:rPr>
          <w:rFonts w:ascii="Calibri" w:hAnsi="Calibri"/>
          <w:b/>
          <w:color w:val="7F7F7F"/>
          <w:sz w:val="15"/>
        </w:rPr>
        <w:t>AUFWAND</w:t>
      </w:r>
    </w:p>
    <w:p>
      <w:pPr>
        <w:spacing w:before="40" w:after="120"/>
        <w:pBdr>
          <w:bottom w:val="single" w:sz="8" w:space="2" w:color="1F4E79"/>
        </w:pBdr>
      </w:pPr>
      <w:r>
        <w:rPr>
          <w:b/>
          <w:color w:val="1F4E79"/>
          <w:sz w:val="26"/>
        </w:rPr>
        <w:t>8 · Umstellung und Betreuung</w:t>
      </w:r>
    </w:p>
    <w:tbl>
      <w:tblPr>
        <w:tblStyle w:val="TableGrid"/>
        <w:tblW w:type="auto" w:w="0"/>
        <w:jc w:val="left"/>
        <w:tblLook w:firstColumn="1" w:firstRow="1" w:lastColumn="0" w:lastRow="0" w:noHBand="0" w:noVBand="1" w:val="04A0"/>
      </w:tblPr>
      <w:tblGrid>
        <w:gridCol w:w="3213"/>
        <w:gridCol w:w="3213"/>
        <w:gridCol w:w="3213"/>
      </w:tblGrid>
      <w:tr>
        <w:tc>
          <w:tcPr>
            <w:tcW w:type="dxa" w:w="794"/>
            <w:shd w:val="clear" w:fill="1F4E79"/>
          </w:tcPr>
          <w:p>
            <w:pPr>
              <w:spacing w:after="0"/>
            </w:pPr>
            <w:r>
              <w:rPr>
                <w:b/>
                <w:color w:val="FFFFFF"/>
                <w:sz w:val="19"/>
              </w:rPr>
              <w:t>Nr.</w:t>
            </w:r>
          </w:p>
        </w:tc>
        <w:tc>
          <w:tcPr>
            <w:tcW w:type="dxa" w:w="7710"/>
            <w:shd w:val="clear" w:fill="1F4E79"/>
          </w:tcPr>
          <w:p>
            <w:pPr>
              <w:spacing w:after="0"/>
            </w:pPr>
            <w:r>
              <w:rPr>
                <w:b/>
                <w:color w:val="FFFFFF"/>
                <w:sz w:val="19"/>
              </w:rPr>
              <w:t>Leistung</w:t>
            </w:r>
          </w:p>
        </w:tc>
        <w:tc>
          <w:tcPr>
            <w:tcW w:type="dxa" w:w="1134"/>
            <w:shd w:val="clear" w:fill="1F4E79"/>
          </w:tcPr>
          <w:p>
            <w:pPr>
              <w:spacing w:after="0"/>
            </w:pPr>
            <w:r>
              <w:rPr>
                <w:b/>
                <w:color w:val="FFFFFF"/>
                <w:sz w:val="19"/>
              </w:rPr>
              <w:t>PT</w:t>
            </w:r>
          </w:p>
        </w:tc>
      </w:tr>
      <w:tr>
        <w:tc>
          <w:tcPr>
            <w:tcW w:type="dxa" w:w="794"/>
          </w:tcPr>
          <w:p>
            <w:pPr>
              <w:spacing w:after="0"/>
            </w:pPr>
            <w:r>
              <w:rPr>
                <w:b w:val="0"/>
                <w:sz w:val="19"/>
              </w:rPr>
              <w:t>8.1</w:t>
            </w:r>
          </w:p>
        </w:tc>
        <w:tc>
          <w:tcPr>
            <w:tcW w:type="dxa" w:w="7710"/>
          </w:tcPr>
          <w:p>
            <w:pPr>
              <w:spacing w:after="0"/>
            </w:pPr>
            <w:r>
              <w:rPr>
                <w:b w:val="0"/>
                <w:sz w:val="19"/>
              </w:rPr>
              <w:t>Umstellungsplan, Begleitung der Stichtagsinventur, abschließende Datenübernahme</w:t>
            </w:r>
          </w:p>
        </w:tc>
        <w:tc>
          <w:tcPr>
            <w:tcW w:type="dxa" w:w="1134"/>
          </w:tcPr>
          <w:p>
            <w:pPr>
              <w:spacing w:after="0"/>
            </w:pPr>
            <w:r>
              <w:rPr>
                <w:b w:val="0"/>
                <w:sz w:val="19"/>
              </w:rPr>
              <w:t>4,0</w:t>
            </w:r>
          </w:p>
        </w:tc>
      </w:tr>
      <w:tr>
        <w:tc>
          <w:tcPr>
            <w:tcW w:type="dxa" w:w="794"/>
          </w:tcPr>
          <w:p>
            <w:pPr>
              <w:spacing w:after="0"/>
            </w:pPr>
            <w:r>
              <w:rPr>
                <w:b w:val="0"/>
                <w:sz w:val="19"/>
              </w:rPr>
              <w:t>8.2</w:t>
            </w:r>
          </w:p>
        </w:tc>
        <w:tc>
          <w:tcPr>
            <w:tcW w:type="dxa" w:w="7710"/>
          </w:tcPr>
          <w:p>
            <w:pPr>
              <w:spacing w:after="0"/>
            </w:pPr>
            <w:r>
              <w:rPr>
                <w:b w:val="0"/>
                <w:sz w:val="19"/>
              </w:rPr>
              <w:t>Begleitung am Umstellungstag und an den beiden Folgetagen</w:t>
            </w:r>
          </w:p>
        </w:tc>
        <w:tc>
          <w:tcPr>
            <w:tcW w:type="dxa" w:w="1134"/>
          </w:tcPr>
          <w:p>
            <w:pPr>
              <w:spacing w:after="0"/>
            </w:pPr>
            <w:r>
              <w:rPr>
                <w:b w:val="0"/>
                <w:sz w:val="19"/>
              </w:rPr>
              <w:t>2,0</w:t>
            </w:r>
          </w:p>
        </w:tc>
      </w:tr>
      <w:tr>
        <w:tc>
          <w:tcPr>
            <w:tcW w:type="dxa" w:w="794"/>
          </w:tcPr>
          <w:p>
            <w:pPr>
              <w:spacing w:after="0"/>
            </w:pPr>
            <w:r>
              <w:rPr>
                <w:b w:val="0"/>
                <w:sz w:val="19"/>
              </w:rPr>
              <w:t>8.3</w:t>
            </w:r>
          </w:p>
        </w:tc>
        <w:tc>
          <w:tcPr>
            <w:tcW w:type="dxa" w:w="7710"/>
          </w:tcPr>
          <w:p>
            <w:pPr>
              <w:spacing w:after="0"/>
            </w:pPr>
            <w:r>
              <w:rPr>
                <w:b w:val="0"/>
                <w:sz w:val="19"/>
              </w:rPr>
              <w:t>Enge Betreuung über vier Wochen nach dem Start</w:t>
            </w:r>
          </w:p>
        </w:tc>
        <w:tc>
          <w:tcPr>
            <w:tcW w:type="dxa" w:w="1134"/>
          </w:tcPr>
          <w:p>
            <w:pPr>
              <w:spacing w:after="0"/>
            </w:pPr>
            <w:r>
              <w:rPr>
                <w:b w:val="0"/>
                <w:sz w:val="19"/>
              </w:rPr>
              <w:t>5,0</w:t>
            </w:r>
          </w:p>
        </w:tc>
      </w:tr>
      <w:tr>
        <w:tc>
          <w:tcPr>
            <w:tcW w:type="dxa" w:w="794"/>
            <w:shd w:val="clear" w:fill="DCE6F1"/>
          </w:tcPr>
          <w:p>
            <w:pPr>
              <w:spacing w:after="0"/>
            </w:pPr>
          </w:p>
        </w:tc>
        <w:tc>
          <w:tcPr>
            <w:tcW w:type="dxa" w:w="7710"/>
            <w:shd w:val="clear" w:fill="DCE6F1"/>
          </w:tcPr>
          <w:p>
            <w:pPr>
              <w:spacing w:after="0"/>
            </w:pPr>
            <w:r>
              <w:rPr>
                <w:b/>
                <w:sz w:val="19"/>
              </w:rPr>
              <w:t>Summe 8</w:t>
            </w:r>
          </w:p>
        </w:tc>
        <w:tc>
          <w:tcPr>
            <w:tcW w:type="dxa" w:w="1134"/>
            <w:shd w:val="clear" w:fill="DCE6F1"/>
          </w:tcPr>
          <w:p>
            <w:pPr>
              <w:spacing w:after="0"/>
            </w:pPr>
            <w:r>
              <w:rPr>
                <w:b/>
                <w:sz w:val="19"/>
              </w:rPr>
              <w:t>11,0</w:t>
            </w:r>
          </w:p>
        </w:tc>
      </w:tr>
    </w:tbl>
    <w:p/>
    <w:p>
      <w:r>
        <w:br w:type="page"/>
      </w:r>
    </w:p>
    <w:p>
      <w:pPr>
        <w:spacing w:before="280" w:after="0"/>
      </w:pPr>
      <w:r>
        <w:rPr>
          <w:rFonts w:ascii="Calibri" w:hAnsi="Calibri"/>
          <w:b/>
          <w:color w:val="7F7F7F"/>
          <w:sz w:val="15"/>
        </w:rPr>
        <w:t>GRUNDPAKET</w:t>
      </w:r>
    </w:p>
    <w:p>
      <w:pPr>
        <w:spacing w:before="40" w:after="120"/>
        <w:pBdr>
          <w:bottom w:val="single" w:sz="8" w:space="2" w:color="1F4E79"/>
        </w:pBdr>
      </w:pPr>
      <w:r>
        <w:rPr>
          <w:b/>
          <w:color w:val="1F4E79"/>
          <w:sz w:val="26"/>
        </w:rPr>
        <w:t>Preisübersicht</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3969"/>
            <w:shd w:val="clear" w:fill="1F4E79"/>
          </w:tcPr>
          <w:p>
            <w:pPr>
              <w:spacing w:after="0"/>
            </w:pPr>
            <w:r>
              <w:rPr>
                <w:b/>
                <w:color w:val="FFFFFF"/>
                <w:sz w:val="19"/>
              </w:rPr>
              <w:t>Arbeitspaket</w:t>
            </w:r>
          </w:p>
        </w:tc>
        <w:tc>
          <w:tcPr>
            <w:tcW w:type="dxa" w:w="2268"/>
            <w:shd w:val="clear" w:fill="1F4E79"/>
          </w:tcPr>
          <w:p>
            <w:pPr>
              <w:spacing w:after="0"/>
            </w:pPr>
            <w:r>
              <w:rPr>
                <w:b/>
                <w:color w:val="FFFFFF"/>
                <w:sz w:val="19"/>
              </w:rPr>
              <w:t>Einordnung</w:t>
            </w:r>
          </w:p>
        </w:tc>
        <w:tc>
          <w:tcPr>
            <w:tcW w:type="dxa" w:w="1134"/>
            <w:shd w:val="clear" w:fill="1F4E79"/>
          </w:tcPr>
          <w:p>
            <w:pPr>
              <w:spacing w:after="0"/>
            </w:pPr>
            <w:r>
              <w:rPr>
                <w:b/>
                <w:color w:val="FFFFFF"/>
                <w:sz w:val="19"/>
              </w:rPr>
              <w:t>PT</w:t>
            </w:r>
          </w:p>
        </w:tc>
        <w:tc>
          <w:tcPr>
            <w:tcW w:type="dxa" w:w="2268"/>
            <w:shd w:val="clear" w:fill="1F4E79"/>
          </w:tcPr>
          <w:p>
            <w:pPr>
              <w:spacing w:after="0"/>
            </w:pPr>
            <w:r>
              <w:rPr>
                <w:b/>
                <w:color w:val="FFFFFF"/>
                <w:sz w:val="19"/>
              </w:rPr>
              <w:t>Betrag</w:t>
            </w:r>
          </w:p>
        </w:tc>
      </w:tr>
      <w:tr>
        <w:tc>
          <w:tcPr>
            <w:tcW w:type="dxa" w:w="3969"/>
          </w:tcPr>
          <w:p>
            <w:pPr>
              <w:spacing w:after="0"/>
            </w:pPr>
            <w:r>
              <w:rPr>
                <w:b w:val="0"/>
                <w:sz w:val="19"/>
              </w:rPr>
              <w:t>1 · Analyse und Beratung</w:t>
            </w:r>
          </w:p>
        </w:tc>
        <w:tc>
          <w:tcPr>
            <w:tcW w:type="dxa" w:w="2268"/>
          </w:tcPr>
          <w:p>
            <w:pPr>
              <w:spacing w:after="0"/>
            </w:pPr>
            <w:r>
              <w:rPr>
                <w:b w:val="0"/>
                <w:sz w:val="19"/>
              </w:rPr>
              <w:t>Aufwand</w:t>
            </w:r>
          </w:p>
        </w:tc>
        <w:tc>
          <w:tcPr>
            <w:tcW w:type="dxa" w:w="1134"/>
          </w:tcPr>
          <w:p>
            <w:pPr>
              <w:spacing w:after="0"/>
            </w:pPr>
            <w:r>
              <w:rPr>
                <w:b w:val="0"/>
                <w:sz w:val="19"/>
              </w:rPr>
              <w:t>22,0</w:t>
            </w:r>
          </w:p>
        </w:tc>
        <w:tc>
          <w:tcPr>
            <w:tcW w:type="dxa" w:w="2268"/>
          </w:tcPr>
          <w:p>
            <w:pPr>
              <w:spacing w:after="0"/>
            </w:pPr>
            <w:r>
              <w:rPr>
                <w:b w:val="0"/>
                <w:sz w:val="19"/>
              </w:rPr>
              <w:t>24.200,00 €</w:t>
            </w:r>
          </w:p>
        </w:tc>
      </w:tr>
      <w:tr>
        <w:tc>
          <w:tcPr>
            <w:tcW w:type="dxa" w:w="3969"/>
          </w:tcPr>
          <w:p>
            <w:pPr>
              <w:spacing w:after="0"/>
            </w:pPr>
            <w:r>
              <w:rPr>
                <w:b w:val="0"/>
                <w:sz w:val="19"/>
              </w:rPr>
              <w:t>2 · Konfiguration der Odoo-Module</w:t>
            </w:r>
          </w:p>
        </w:tc>
        <w:tc>
          <w:tcPr>
            <w:tcW w:type="dxa" w:w="2268"/>
          </w:tcPr>
          <w:p>
            <w:pPr>
              <w:spacing w:after="0"/>
            </w:pPr>
            <w:r>
              <w:rPr>
                <w:b w:val="0"/>
                <w:sz w:val="19"/>
              </w:rPr>
              <w:t>aktivierungsbezogen</w:t>
            </w:r>
          </w:p>
        </w:tc>
        <w:tc>
          <w:tcPr>
            <w:tcW w:type="dxa" w:w="1134"/>
          </w:tcPr>
          <w:p>
            <w:pPr>
              <w:spacing w:after="0"/>
            </w:pPr>
            <w:r>
              <w:rPr>
                <w:b w:val="0"/>
                <w:sz w:val="19"/>
              </w:rPr>
              <w:t>44,5</w:t>
            </w:r>
          </w:p>
        </w:tc>
        <w:tc>
          <w:tcPr>
            <w:tcW w:type="dxa" w:w="2268"/>
          </w:tcPr>
          <w:p>
            <w:pPr>
              <w:spacing w:after="0"/>
            </w:pPr>
            <w:r>
              <w:rPr>
                <w:b w:val="0"/>
                <w:sz w:val="19"/>
              </w:rPr>
              <w:t>48.950,00 €</w:t>
            </w:r>
          </w:p>
        </w:tc>
      </w:tr>
      <w:tr>
        <w:tc>
          <w:tcPr>
            <w:tcW w:type="dxa" w:w="3969"/>
          </w:tcPr>
          <w:p>
            <w:pPr>
              <w:spacing w:after="0"/>
            </w:pPr>
            <w:r>
              <w:rPr>
                <w:b w:val="0"/>
                <w:sz w:val="19"/>
              </w:rPr>
              <w:t>3 · Kundenspezifische Entwicklung</w:t>
            </w:r>
          </w:p>
        </w:tc>
        <w:tc>
          <w:tcPr>
            <w:tcW w:type="dxa" w:w="2268"/>
          </w:tcPr>
          <w:p>
            <w:pPr>
              <w:spacing w:after="0"/>
            </w:pPr>
            <w:r>
              <w:rPr>
                <w:b w:val="0"/>
                <w:sz w:val="19"/>
              </w:rPr>
              <w:t>aktivierungsbezogen</w:t>
            </w:r>
          </w:p>
        </w:tc>
        <w:tc>
          <w:tcPr>
            <w:tcW w:type="dxa" w:w="1134"/>
          </w:tcPr>
          <w:p>
            <w:pPr>
              <w:spacing w:after="0"/>
            </w:pPr>
            <w:r>
              <w:rPr>
                <w:b w:val="0"/>
                <w:sz w:val="19"/>
              </w:rPr>
              <w:t>13,0</w:t>
            </w:r>
          </w:p>
        </w:tc>
        <w:tc>
          <w:tcPr>
            <w:tcW w:type="dxa" w:w="2268"/>
          </w:tcPr>
          <w:p>
            <w:pPr>
              <w:spacing w:after="0"/>
            </w:pPr>
            <w:r>
              <w:rPr>
                <w:b w:val="0"/>
                <w:sz w:val="19"/>
              </w:rPr>
              <w:t>14.300,00 €</w:t>
            </w:r>
          </w:p>
        </w:tc>
      </w:tr>
      <w:tr>
        <w:tc>
          <w:tcPr>
            <w:tcW w:type="dxa" w:w="3969"/>
          </w:tcPr>
          <w:p>
            <w:pPr>
              <w:spacing w:after="0"/>
            </w:pPr>
            <w:r>
              <w:rPr>
                <w:b w:val="0"/>
                <w:sz w:val="19"/>
              </w:rPr>
              <w:t>4 · Schnittstellen</w:t>
            </w:r>
          </w:p>
        </w:tc>
        <w:tc>
          <w:tcPr>
            <w:tcW w:type="dxa" w:w="2268"/>
          </w:tcPr>
          <w:p>
            <w:pPr>
              <w:spacing w:after="0"/>
            </w:pPr>
            <w:r>
              <w:rPr>
                <w:b w:val="0"/>
                <w:sz w:val="19"/>
              </w:rPr>
              <w:t>aktivierungsbezogen</w:t>
            </w:r>
          </w:p>
        </w:tc>
        <w:tc>
          <w:tcPr>
            <w:tcW w:type="dxa" w:w="1134"/>
          </w:tcPr>
          <w:p>
            <w:pPr>
              <w:spacing w:after="0"/>
            </w:pPr>
            <w:r>
              <w:rPr>
                <w:b w:val="0"/>
                <w:sz w:val="19"/>
              </w:rPr>
              <w:t>17,0</w:t>
            </w:r>
          </w:p>
        </w:tc>
        <w:tc>
          <w:tcPr>
            <w:tcW w:type="dxa" w:w="2268"/>
          </w:tcPr>
          <w:p>
            <w:pPr>
              <w:spacing w:after="0"/>
            </w:pPr>
            <w:r>
              <w:rPr>
                <w:b w:val="0"/>
                <w:sz w:val="19"/>
              </w:rPr>
              <w:t>18.700,00 €</w:t>
            </w:r>
          </w:p>
        </w:tc>
      </w:tr>
      <w:tr>
        <w:tc>
          <w:tcPr>
            <w:tcW w:type="dxa" w:w="3969"/>
          </w:tcPr>
          <w:p>
            <w:pPr>
              <w:spacing w:after="0"/>
            </w:pPr>
            <w:r>
              <w:rPr>
                <w:b w:val="0"/>
                <w:sz w:val="19"/>
              </w:rPr>
              <w:t>5 · Datenmigration</w:t>
            </w:r>
          </w:p>
        </w:tc>
        <w:tc>
          <w:tcPr>
            <w:tcW w:type="dxa" w:w="2268"/>
          </w:tcPr>
          <w:p>
            <w:pPr>
              <w:spacing w:after="0"/>
            </w:pPr>
            <w:r>
              <w:rPr>
                <w:b w:val="0"/>
                <w:sz w:val="19"/>
              </w:rPr>
              <w:t>aktivierungsbezogen</w:t>
            </w:r>
          </w:p>
        </w:tc>
        <w:tc>
          <w:tcPr>
            <w:tcW w:type="dxa" w:w="1134"/>
          </w:tcPr>
          <w:p>
            <w:pPr>
              <w:spacing w:after="0"/>
            </w:pPr>
            <w:r>
              <w:rPr>
                <w:b w:val="0"/>
                <w:sz w:val="19"/>
              </w:rPr>
              <w:t>24,5</w:t>
            </w:r>
          </w:p>
        </w:tc>
        <w:tc>
          <w:tcPr>
            <w:tcW w:type="dxa" w:w="2268"/>
          </w:tcPr>
          <w:p>
            <w:pPr>
              <w:spacing w:after="0"/>
            </w:pPr>
            <w:r>
              <w:rPr>
                <w:b w:val="0"/>
                <w:sz w:val="19"/>
              </w:rPr>
              <w:t>26.950,00 €</w:t>
            </w:r>
          </w:p>
        </w:tc>
      </w:tr>
      <w:tr>
        <w:tc>
          <w:tcPr>
            <w:tcW w:type="dxa" w:w="3969"/>
          </w:tcPr>
          <w:p>
            <w:pPr>
              <w:spacing w:after="0"/>
            </w:pPr>
            <w:r>
              <w:rPr>
                <w:b w:val="0"/>
                <w:sz w:val="19"/>
              </w:rPr>
              <w:t>6 · Integration und Test</w:t>
            </w:r>
          </w:p>
        </w:tc>
        <w:tc>
          <w:tcPr>
            <w:tcW w:type="dxa" w:w="2268"/>
          </w:tcPr>
          <w:p>
            <w:pPr>
              <w:spacing w:after="0"/>
            </w:pPr>
            <w:r>
              <w:rPr>
                <w:b w:val="0"/>
                <w:sz w:val="19"/>
              </w:rPr>
              <w:t>aktivierungsbezogen</w:t>
            </w:r>
          </w:p>
        </w:tc>
        <w:tc>
          <w:tcPr>
            <w:tcW w:type="dxa" w:w="1134"/>
          </w:tcPr>
          <w:p>
            <w:pPr>
              <w:spacing w:after="0"/>
            </w:pPr>
            <w:r>
              <w:rPr>
                <w:b w:val="0"/>
                <w:sz w:val="19"/>
              </w:rPr>
              <w:t>23,0</w:t>
            </w:r>
          </w:p>
        </w:tc>
        <w:tc>
          <w:tcPr>
            <w:tcW w:type="dxa" w:w="2268"/>
          </w:tcPr>
          <w:p>
            <w:pPr>
              <w:spacing w:after="0"/>
            </w:pPr>
            <w:r>
              <w:rPr>
                <w:b w:val="0"/>
                <w:sz w:val="19"/>
              </w:rPr>
              <w:t>25.300,00 €</w:t>
            </w:r>
          </w:p>
        </w:tc>
      </w:tr>
      <w:tr>
        <w:tc>
          <w:tcPr>
            <w:tcW w:type="dxa" w:w="3969"/>
          </w:tcPr>
          <w:p>
            <w:pPr>
              <w:spacing w:after="0"/>
            </w:pPr>
            <w:r>
              <w:rPr>
                <w:b w:val="0"/>
                <w:sz w:val="19"/>
              </w:rPr>
              <w:t>7 · Schulung und Einführungsbegleitung</w:t>
            </w:r>
          </w:p>
        </w:tc>
        <w:tc>
          <w:tcPr>
            <w:tcW w:type="dxa" w:w="2268"/>
          </w:tcPr>
          <w:p>
            <w:pPr>
              <w:spacing w:after="0"/>
            </w:pPr>
            <w:r>
              <w:rPr>
                <w:b w:val="0"/>
                <w:sz w:val="19"/>
              </w:rPr>
              <w:t>Aufwand</w:t>
            </w:r>
          </w:p>
        </w:tc>
        <w:tc>
          <w:tcPr>
            <w:tcW w:type="dxa" w:w="1134"/>
          </w:tcPr>
          <w:p>
            <w:pPr>
              <w:spacing w:after="0"/>
            </w:pPr>
            <w:r>
              <w:rPr>
                <w:b w:val="0"/>
                <w:sz w:val="19"/>
              </w:rPr>
              <w:t>8,0</w:t>
            </w:r>
          </w:p>
        </w:tc>
        <w:tc>
          <w:tcPr>
            <w:tcW w:type="dxa" w:w="2268"/>
          </w:tcPr>
          <w:p>
            <w:pPr>
              <w:spacing w:after="0"/>
            </w:pPr>
            <w:r>
              <w:rPr>
                <w:b w:val="0"/>
                <w:sz w:val="19"/>
              </w:rPr>
              <w:t>8.800,00 €</w:t>
            </w:r>
          </w:p>
        </w:tc>
      </w:tr>
      <w:tr>
        <w:tc>
          <w:tcPr>
            <w:tcW w:type="dxa" w:w="3969"/>
          </w:tcPr>
          <w:p>
            <w:pPr>
              <w:spacing w:after="0"/>
            </w:pPr>
            <w:r>
              <w:rPr>
                <w:b w:val="0"/>
                <w:sz w:val="19"/>
              </w:rPr>
              <w:t>8 · Umstellung und Betreuung</w:t>
            </w:r>
          </w:p>
        </w:tc>
        <w:tc>
          <w:tcPr>
            <w:tcW w:type="dxa" w:w="2268"/>
          </w:tcPr>
          <w:p>
            <w:pPr>
              <w:spacing w:after="0"/>
            </w:pPr>
            <w:r>
              <w:rPr>
                <w:b w:val="0"/>
                <w:sz w:val="19"/>
              </w:rPr>
              <w:t>Aufwand</w:t>
            </w:r>
          </w:p>
        </w:tc>
        <w:tc>
          <w:tcPr>
            <w:tcW w:type="dxa" w:w="1134"/>
          </w:tcPr>
          <w:p>
            <w:pPr>
              <w:spacing w:after="0"/>
            </w:pPr>
            <w:r>
              <w:rPr>
                <w:b w:val="0"/>
                <w:sz w:val="19"/>
              </w:rPr>
              <w:t>11,0</w:t>
            </w:r>
          </w:p>
        </w:tc>
        <w:tc>
          <w:tcPr>
            <w:tcW w:type="dxa" w:w="2268"/>
          </w:tcPr>
          <w:p>
            <w:pPr>
              <w:spacing w:after="0"/>
            </w:pPr>
            <w:r>
              <w:rPr>
                <w:b w:val="0"/>
                <w:sz w:val="19"/>
              </w:rPr>
              <w:t>12.100,00 €</w:t>
            </w:r>
          </w:p>
        </w:tc>
      </w:tr>
      <w:tr>
        <w:tc>
          <w:tcPr>
            <w:tcW w:type="dxa" w:w="3969"/>
            <w:shd w:val="clear" w:fill="FFF2A8"/>
          </w:tcPr>
          <w:p>
            <w:pPr>
              <w:spacing w:after="0"/>
            </w:pPr>
            <w:r>
              <w:rPr>
                <w:b/>
                <w:sz w:val="19"/>
              </w:rPr>
              <w:t>Grundpaket gesamt</w:t>
            </w:r>
          </w:p>
        </w:tc>
        <w:tc>
          <w:tcPr>
            <w:tcW w:type="dxa" w:w="2268"/>
            <w:shd w:val="clear" w:fill="FFF2A8"/>
          </w:tcPr>
          <w:p>
            <w:pPr>
              <w:spacing w:after="0"/>
            </w:pPr>
          </w:p>
        </w:tc>
        <w:tc>
          <w:tcPr>
            <w:tcW w:type="dxa" w:w="1134"/>
            <w:shd w:val="clear" w:fill="FFF2A8"/>
          </w:tcPr>
          <w:p>
            <w:pPr>
              <w:spacing w:after="0"/>
            </w:pPr>
            <w:r>
              <w:rPr>
                <w:b/>
                <w:sz w:val="19"/>
              </w:rPr>
              <w:t>163,0</w:t>
            </w:r>
          </w:p>
        </w:tc>
        <w:tc>
          <w:tcPr>
            <w:tcW w:type="dxa" w:w="2268"/>
            <w:shd w:val="clear" w:fill="FFF2A8"/>
          </w:tcPr>
          <w:p>
            <w:pPr>
              <w:spacing w:after="0"/>
            </w:pPr>
            <w:r>
              <w:rPr>
                <w:b/>
                <w:sz w:val="19"/>
              </w:rPr>
              <w:t>179.300,00 €</w:t>
            </w:r>
          </w:p>
        </w:tc>
      </w:tr>
    </w:tbl>
    <w:p>
      <w:pPr>
        <w:spacing w:after="240"/>
      </w:pPr>
      <w:r>
        <w:rPr>
          <w:b w:val="0"/>
          <w:i/>
          <w:sz w:val="18"/>
        </w:rPr>
        <w:t>Stundensatz 137,50 €, Personentag zu 8 Stunden entspricht 1.100,00 €. Alle Beträge netto zuzüglich Umsatzsteuer.</w:t>
      </w:r>
    </w:p>
    <w:p>
      <w:pPr>
        <w:spacing w:after="240"/>
      </w:pPr>
      <w:r>
        <w:rPr>
          <w:b/>
          <w:i w:val="0"/>
          <w:sz w:val="20"/>
        </w:rPr>
        <w:t>Davon aktivierungsbezogen:</w:t>
      </w:r>
      <w:r>
        <w:rPr>
          <w:b w:val="0"/>
          <w:i w:val="0"/>
          <w:sz w:val="20"/>
        </w:rPr>
        <w:t xml:space="preserve"> 122,0 PT (134.200,00 €). </w:t>
      </w:r>
      <w:r>
        <w:rPr>
          <w:b/>
          <w:i w:val="0"/>
          <w:sz w:val="20"/>
        </w:rPr>
        <w:t>Davon Aufwand:</w:t>
      </w:r>
      <w:r>
        <w:rPr>
          <w:b w:val="0"/>
          <w:i w:val="0"/>
          <w:sz w:val="20"/>
        </w:rPr>
        <w:t xml:space="preserve"> 41,0 PT (45.100,00 €).</w:t>
      </w:r>
    </w:p>
    <w:p>
      <w:pPr>
        <w:spacing w:before="280" w:after="0"/>
      </w:pPr>
      <w:r>
        <w:rPr>
          <w:rFonts w:ascii="Calibri" w:hAnsi="Calibri"/>
          <w:b/>
          <w:color w:val="7F7F7F"/>
          <w:sz w:val="15"/>
        </w:rPr>
        <w:t>AUF ABRUF, NICHT IM GRUNDPAKET</w:t>
      </w:r>
    </w:p>
    <w:p>
      <w:pPr>
        <w:spacing w:before="40" w:after="120"/>
        <w:pBdr>
          <w:bottom w:val="single" w:sz="8" w:space="2" w:color="1F4E79"/>
        </w:pBdr>
      </w:pPr>
      <w:r>
        <w:rPr>
          <w:b/>
          <w:color w:val="1F4E79"/>
          <w:sz w:val="26"/>
        </w:rPr>
        <w:t>Optionen</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794"/>
            <w:shd w:val="clear" w:fill="1F4E79"/>
          </w:tcPr>
          <w:p>
            <w:pPr>
              <w:spacing w:after="0"/>
            </w:pPr>
            <w:r>
              <w:rPr>
                <w:b/>
                <w:color w:val="FFFFFF"/>
                <w:sz w:val="19"/>
              </w:rPr>
              <w:t>Nr.</w:t>
            </w:r>
          </w:p>
        </w:tc>
        <w:tc>
          <w:tcPr>
            <w:tcW w:type="dxa" w:w="6009"/>
            <w:shd w:val="clear" w:fill="1F4E79"/>
          </w:tcPr>
          <w:p>
            <w:pPr>
              <w:spacing w:after="0"/>
            </w:pPr>
            <w:r>
              <w:rPr>
                <w:b/>
                <w:color w:val="FFFFFF"/>
                <w:sz w:val="19"/>
              </w:rPr>
              <w:t>Leistung</w:t>
            </w:r>
          </w:p>
        </w:tc>
        <w:tc>
          <w:tcPr>
            <w:tcW w:type="dxa" w:w="1134"/>
            <w:shd w:val="clear" w:fill="1F4E79"/>
          </w:tcPr>
          <w:p>
            <w:pPr>
              <w:spacing w:after="0"/>
            </w:pPr>
            <w:r>
              <w:rPr>
                <w:b/>
                <w:color w:val="FFFFFF"/>
                <w:sz w:val="19"/>
              </w:rPr>
              <w:t>PT</w:t>
            </w:r>
          </w:p>
        </w:tc>
        <w:tc>
          <w:tcPr>
            <w:tcW w:type="dxa" w:w="1701"/>
            <w:shd w:val="clear" w:fill="1F4E79"/>
          </w:tcPr>
          <w:p>
            <w:pPr>
              <w:spacing w:after="0"/>
            </w:pPr>
            <w:r>
              <w:rPr>
                <w:b/>
                <w:color w:val="FFFFFF"/>
                <w:sz w:val="19"/>
              </w:rPr>
              <w:t>Betrag</w:t>
            </w:r>
          </w:p>
        </w:tc>
      </w:tr>
      <w:tr>
        <w:tc>
          <w:tcPr>
            <w:tcW w:type="dxa" w:w="794"/>
          </w:tcPr>
          <w:p>
            <w:pPr>
              <w:spacing w:after="0"/>
            </w:pPr>
            <w:r>
              <w:rPr>
                <w:b w:val="0"/>
                <w:sz w:val="19"/>
              </w:rPr>
              <w:t>O1</w:t>
            </w:r>
          </w:p>
        </w:tc>
        <w:tc>
          <w:tcPr>
            <w:tcW w:type="dxa" w:w="6009"/>
          </w:tcPr>
          <w:p>
            <w:pPr>
              <w:spacing w:after="0"/>
            </w:pPr>
            <w:r>
              <w:rPr>
                <w:b w:val="0"/>
                <w:sz w:val="19"/>
              </w:rPr>
              <w:t>Übernahme des Interessentenbestands mit 10.387 Adressen in das CRM, inklusive Bereinigung und Zuordnung zu bestehenden Kunden</w:t>
            </w:r>
          </w:p>
        </w:tc>
        <w:tc>
          <w:tcPr>
            <w:tcW w:type="dxa" w:w="1134"/>
          </w:tcPr>
          <w:p>
            <w:pPr>
              <w:spacing w:after="0"/>
            </w:pPr>
            <w:r>
              <w:rPr>
                <w:b w:val="0"/>
                <w:sz w:val="19"/>
              </w:rPr>
              <w:t>3,0</w:t>
            </w:r>
          </w:p>
        </w:tc>
        <w:tc>
          <w:tcPr>
            <w:tcW w:type="dxa" w:w="1701"/>
          </w:tcPr>
          <w:p>
            <w:pPr>
              <w:spacing w:after="0"/>
            </w:pPr>
            <w:r>
              <w:rPr>
                <w:b w:val="0"/>
                <w:sz w:val="19"/>
              </w:rPr>
              <w:t>3.300,00 €</w:t>
            </w:r>
          </w:p>
        </w:tc>
      </w:tr>
      <w:tr>
        <w:tc>
          <w:tcPr>
            <w:tcW w:type="dxa" w:w="794"/>
          </w:tcPr>
          <w:p>
            <w:pPr>
              <w:spacing w:after="0"/>
            </w:pPr>
            <w:r>
              <w:rPr>
                <w:b w:val="0"/>
                <w:sz w:val="19"/>
              </w:rPr>
              <w:t>O2</w:t>
            </w:r>
          </w:p>
        </w:tc>
        <w:tc>
          <w:tcPr>
            <w:tcW w:type="dxa" w:w="6009"/>
          </w:tcPr>
          <w:p>
            <w:pPr>
              <w:spacing w:after="0"/>
            </w:pPr>
            <w:r>
              <w:rPr>
                <w:b/>
                <w:sz w:val="19"/>
              </w:rPr>
              <w:t>Datenlieferung an LucaNet:</w:t>
            </w:r>
            <w:r>
              <w:rPr>
                <w:b w:val="0"/>
                <w:sz w:val="19"/>
              </w:rPr>
              <w:t xml:space="preserve"> Einrichtung, Abstimmung des Lieferformats mit der Certania-Gruppe, Testlieferung und Abnahme. Der laufende Aufwand je Periode liegt danach nahe null</w:t>
            </w:r>
          </w:p>
        </w:tc>
        <w:tc>
          <w:tcPr>
            <w:tcW w:type="dxa" w:w="1134"/>
          </w:tcPr>
          <w:p>
            <w:pPr>
              <w:spacing w:after="0"/>
            </w:pPr>
            <w:r>
              <w:rPr>
                <w:b w:val="0"/>
                <w:sz w:val="19"/>
              </w:rPr>
              <w:t>8,0</w:t>
            </w:r>
          </w:p>
        </w:tc>
        <w:tc>
          <w:tcPr>
            <w:tcW w:type="dxa" w:w="1701"/>
          </w:tcPr>
          <w:p>
            <w:pPr>
              <w:spacing w:after="0"/>
            </w:pPr>
            <w:r>
              <w:rPr>
                <w:b w:val="0"/>
                <w:sz w:val="19"/>
              </w:rPr>
              <w:t>8.800,00 €</w:t>
            </w:r>
          </w:p>
        </w:tc>
      </w:tr>
      <w:tr>
        <w:tc>
          <w:tcPr>
            <w:tcW w:type="dxa" w:w="794"/>
          </w:tcPr>
          <w:p>
            <w:pPr>
              <w:spacing w:after="0"/>
            </w:pPr>
            <w:r>
              <w:rPr>
                <w:b w:val="0"/>
                <w:sz w:val="19"/>
              </w:rPr>
              <w:t>O3</w:t>
            </w:r>
          </w:p>
        </w:tc>
        <w:tc>
          <w:tcPr>
            <w:tcW w:type="dxa" w:w="6009"/>
          </w:tcPr>
          <w:p>
            <w:pPr>
              <w:spacing w:after="0"/>
            </w:pPr>
            <w:r>
              <w:rPr>
                <w:b/>
                <w:sz w:val="19"/>
              </w:rPr>
              <w:t>IFRS-Überleitung:</w:t>
            </w:r>
            <w:r>
              <w:rPr>
                <w:b w:val="0"/>
                <w:sz w:val="19"/>
              </w:rPr>
              <w:t xml:space="preserve"> zusätzliche Erfassungsfelder, Kontenzuordnung und Journal für die Berichterstattung an die Gruppe</w:t>
            </w:r>
          </w:p>
        </w:tc>
        <w:tc>
          <w:tcPr>
            <w:tcW w:type="dxa" w:w="1134"/>
          </w:tcPr>
          <w:p>
            <w:pPr>
              <w:spacing w:after="0"/>
            </w:pPr>
            <w:r>
              <w:rPr>
                <w:b w:val="0"/>
                <w:sz w:val="19"/>
              </w:rPr>
              <w:t>6,0</w:t>
            </w:r>
          </w:p>
        </w:tc>
        <w:tc>
          <w:tcPr>
            <w:tcW w:type="dxa" w:w="1701"/>
          </w:tcPr>
          <w:p>
            <w:pPr>
              <w:spacing w:after="0"/>
            </w:pPr>
            <w:r>
              <w:rPr>
                <w:b w:val="0"/>
                <w:sz w:val="19"/>
              </w:rPr>
              <w:t>6.600,00 €</w:t>
            </w:r>
          </w:p>
        </w:tc>
      </w:tr>
      <w:tr>
        <w:tc>
          <w:tcPr>
            <w:tcW w:type="dxa" w:w="794"/>
          </w:tcPr>
          <w:p>
            <w:pPr>
              <w:spacing w:after="0"/>
            </w:pPr>
            <w:r>
              <w:rPr>
                <w:b w:val="0"/>
                <w:sz w:val="19"/>
              </w:rPr>
              <w:t>O4</w:t>
            </w:r>
          </w:p>
        </w:tc>
        <w:tc>
          <w:tcPr>
            <w:tcW w:type="dxa" w:w="6009"/>
          </w:tcPr>
          <w:p>
            <w:pPr>
              <w:spacing w:after="0"/>
            </w:pPr>
            <w:r>
              <w:rPr>
                <w:b w:val="0"/>
                <w:sz w:val="19"/>
              </w:rPr>
              <w:t>Übernahme der Prüfhistorie: bestehende Gutachten als Nachweis am Anlagensatz verknüpft, ohne inhaltliche Migration</w:t>
            </w:r>
          </w:p>
        </w:tc>
        <w:tc>
          <w:tcPr>
            <w:tcW w:type="dxa" w:w="1134"/>
          </w:tcPr>
          <w:p>
            <w:pPr>
              <w:spacing w:after="0"/>
            </w:pPr>
            <w:r>
              <w:rPr>
                <w:b w:val="0"/>
                <w:sz w:val="19"/>
              </w:rPr>
              <w:t>4,0</w:t>
            </w:r>
          </w:p>
        </w:tc>
        <w:tc>
          <w:tcPr>
            <w:tcW w:type="dxa" w:w="1701"/>
          </w:tcPr>
          <w:p>
            <w:pPr>
              <w:spacing w:after="0"/>
            </w:pPr>
            <w:r>
              <w:rPr>
                <w:b w:val="0"/>
                <w:sz w:val="19"/>
              </w:rPr>
              <w:t>4.400,00 €</w:t>
            </w:r>
          </w:p>
        </w:tc>
      </w:tr>
      <w:tr>
        <w:tc>
          <w:tcPr>
            <w:tcW w:type="dxa" w:w="794"/>
            <w:shd w:val="clear" w:fill="DCE6F1"/>
          </w:tcPr>
          <w:p>
            <w:pPr>
              <w:spacing w:after="0"/>
            </w:pPr>
          </w:p>
        </w:tc>
        <w:tc>
          <w:tcPr>
            <w:tcW w:type="dxa" w:w="6009"/>
            <w:shd w:val="clear" w:fill="DCE6F1"/>
          </w:tcPr>
          <w:p>
            <w:pPr>
              <w:spacing w:after="0"/>
            </w:pPr>
            <w:r>
              <w:rPr>
                <w:b/>
                <w:sz w:val="19"/>
              </w:rPr>
              <w:t>Summe Optionen</w:t>
            </w:r>
          </w:p>
        </w:tc>
        <w:tc>
          <w:tcPr>
            <w:tcW w:type="dxa" w:w="1134"/>
            <w:shd w:val="clear" w:fill="DCE6F1"/>
          </w:tcPr>
          <w:p>
            <w:pPr>
              <w:spacing w:after="0"/>
            </w:pPr>
            <w:r>
              <w:rPr>
                <w:b/>
                <w:sz w:val="19"/>
              </w:rPr>
              <w:t>21,0</w:t>
            </w:r>
          </w:p>
        </w:tc>
        <w:tc>
          <w:tcPr>
            <w:tcW w:type="dxa" w:w="1701"/>
            <w:shd w:val="clear" w:fill="DCE6F1"/>
          </w:tcPr>
          <w:p>
            <w:pPr>
              <w:spacing w:after="0"/>
            </w:pPr>
            <w:r>
              <w:rPr>
                <w:b/>
                <w:sz w:val="19"/>
              </w:rPr>
              <w:t>23.100,00 €</w:t>
            </w:r>
          </w:p>
        </w:tc>
      </w:tr>
    </w:tbl>
    <w:p>
      <w:pPr>
        <w:spacing w:after="240"/>
      </w:pPr>
      <w:r>
        <w:rPr>
          <w:b w:val="0"/>
          <w:i/>
          <w:sz w:val="18"/>
        </w:rPr>
        <w:t>Optionen werden erst nach schriftlicher Freigabe erbracht. Bei O2 ist die Abstimmung des Lieferformats mit der Certania-Gruppe Voraussetzung – liegt ein Format einer anderen Gruppengesellschaft vor, sinkt der Aufwand.</w:t>
      </w:r>
    </w:p>
    <w:p>
      <w:pPr>
        <w:spacing w:before="280" w:after="0"/>
      </w:pPr>
      <w:r>
        <w:rPr>
          <w:rFonts w:ascii="Calibri" w:hAnsi="Calibri"/>
          <w:b/>
          <w:color w:val="7F7F7F"/>
          <w:sz w:val="15"/>
        </w:rPr>
        <w:t>NACH LEISTUNG, NICHT NACH STUNDEN</w:t>
      </w:r>
    </w:p>
    <w:p>
      <w:pPr>
        <w:spacing w:before="40" w:after="120"/>
        <w:pBdr>
          <w:bottom w:val="single" w:sz="8" w:space="2" w:color="1F4E79"/>
        </w:pBdr>
      </w:pPr>
      <w:r>
        <w:rPr>
          <w:b/>
          <w:color w:val="1F4E79"/>
          <w:sz w:val="26"/>
        </w:rPr>
        <w:t>Abrechnung</w:t>
      </w:r>
    </w:p>
    <w:p>
      <w:pPr>
        <w:spacing w:before="20" w:after="20"/>
        <w:ind w:left="397"/>
      </w:pPr>
      <w:r>
        <w:t>– Abgerechnet wird nach erbrachter Leistung je Arbeitspaket, jeweils mit Leistungsnachweis und Abnahme. Die genannten Beträge sind die kalkulierte Grundlage, kein Festpreis.</w:t>
      </w:r>
    </w:p>
    <w:p>
      <w:pPr>
        <w:spacing w:before="20" w:after="20"/>
        <w:ind w:left="397"/>
      </w:pPr>
      <w:r>
        <w:t>– Rechnungsstellung monatlich nach Leistungsfortschritt, getrennt nach Arbeitspaket. Damit bleibt die Zuordnung zu aktivierungsbezogenen und laufenden Leistungen durchgängig nachvollziehbar.</w:t>
      </w:r>
    </w:p>
    <w:p>
      <w:pPr>
        <w:spacing w:before="20" w:after="20"/>
        <w:ind w:left="397"/>
      </w:pPr>
      <w:r>
        <w:t>– Abweichungen von mehr als zehn Prozent je Arbeitspaket werden vor der Ausführung angezeigt und schriftlich freigegeben.</w:t>
      </w:r>
    </w:p>
    <w:p>
      <w:pPr>
        <w:spacing w:before="20" w:after="20"/>
        <w:ind w:left="397"/>
      </w:pPr>
      <w:r>
        <w:t>– Der entstehende Quellcode – Erweiterungsmodule, Stammdatenbrücke, Auswertungen – wird an biotec übergeben und in einem Repository von biotec abgelegt.</w:t>
      </w:r>
    </w:p>
    <w:p>
      <w:pPr>
        <w:spacing w:before="20" w:after="20"/>
        <w:ind w:left="397"/>
      </w:pPr>
      <w:r>
        <w:t>– Reisekosten für die Vor-Ort-Schulung werden nach Aufwand abgerechnet und vorab abgestimmt.</w:t>
      </w:r>
    </w:p>
    <w:p>
      <w:pPr>
        <w:spacing w:before="20" w:after="20"/>
        <w:ind w:left="397"/>
      </w:pPr>
      <w:r>
        <w:t>– Nicht enthalten sind Odoo-Lizenzen, Hosting, Hardware und Leistungen Dritter.</w:t>
      </w:r>
    </w:p>
    <w:p>
      <w:r>
        <w:br w:type="page"/>
      </w:r>
    </w:p>
    <w:p>
      <w:pPr>
        <w:spacing w:before="280" w:after="0"/>
      </w:pPr>
      <w:r>
        <w:rPr>
          <w:rFonts w:ascii="Calibri" w:hAnsi="Calibri"/>
          <w:b/>
          <w:color w:val="7F7F7F"/>
          <w:sz w:val="15"/>
        </w:rPr>
        <w:t>RUND 23 WOCHEN</w:t>
      </w:r>
    </w:p>
    <w:p>
      <w:pPr>
        <w:spacing w:before="40" w:after="120"/>
        <w:pBdr>
          <w:bottom w:val="single" w:sz="8" w:space="2" w:color="1F4E79"/>
        </w:pBdr>
      </w:pPr>
      <w:r>
        <w:rPr>
          <w:b/>
          <w:color w:val="1F4E79"/>
          <w:sz w:val="26"/>
        </w:rPr>
        <w:t>Zeitplan und Meilensteine</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680"/>
            <w:shd w:val="clear" w:fill="1F4E79"/>
          </w:tcPr>
          <w:p>
            <w:pPr>
              <w:spacing w:after="0"/>
            </w:pPr>
            <w:r>
              <w:rPr>
                <w:b/>
                <w:color w:val="FFFFFF"/>
                <w:sz w:val="19"/>
              </w:rPr>
              <w:t>Nr.</w:t>
            </w:r>
          </w:p>
        </w:tc>
        <w:tc>
          <w:tcPr>
            <w:tcW w:type="dxa" w:w="3969"/>
            <w:shd w:val="clear" w:fill="1F4E79"/>
          </w:tcPr>
          <w:p>
            <w:pPr>
              <w:spacing w:after="0"/>
            </w:pPr>
            <w:r>
              <w:rPr>
                <w:b/>
                <w:color w:val="FFFFFF"/>
                <w:sz w:val="19"/>
              </w:rPr>
              <w:t>Meilenstein</w:t>
            </w:r>
          </w:p>
        </w:tc>
        <w:tc>
          <w:tcPr>
            <w:tcW w:type="dxa" w:w="3402"/>
            <w:shd w:val="clear" w:fill="1F4E79"/>
          </w:tcPr>
          <w:p>
            <w:pPr>
              <w:spacing w:after="0"/>
            </w:pPr>
            <w:r>
              <w:rPr>
                <w:b/>
                <w:color w:val="FFFFFF"/>
                <w:sz w:val="19"/>
              </w:rPr>
              <w:t>Nachweis</w:t>
            </w:r>
          </w:p>
        </w:tc>
        <w:tc>
          <w:tcPr>
            <w:tcW w:type="dxa" w:w="1587"/>
            <w:shd w:val="clear" w:fill="1F4E79"/>
          </w:tcPr>
          <w:p>
            <w:pPr>
              <w:spacing w:after="0"/>
            </w:pPr>
            <w:r>
              <w:rPr>
                <w:b/>
                <w:color w:val="FFFFFF"/>
                <w:sz w:val="19"/>
              </w:rPr>
              <w:t>Zeitpunkt</w:t>
            </w:r>
          </w:p>
        </w:tc>
      </w:tr>
      <w:tr>
        <w:tc>
          <w:tcPr>
            <w:tcW w:type="dxa" w:w="680"/>
          </w:tcPr>
          <w:p>
            <w:pPr>
              <w:spacing w:after="0"/>
            </w:pPr>
            <w:r>
              <w:rPr>
                <w:b w:val="0"/>
                <w:sz w:val="19"/>
              </w:rPr>
              <w:t>1</w:t>
            </w:r>
          </w:p>
        </w:tc>
        <w:tc>
          <w:tcPr>
            <w:tcW w:type="dxa" w:w="3969"/>
          </w:tcPr>
          <w:p>
            <w:pPr>
              <w:spacing w:after="0"/>
            </w:pPr>
            <w:r>
              <w:rPr>
                <w:b w:val="0"/>
                <w:sz w:val="19"/>
              </w:rPr>
              <w:t>Soll-Konzept abgestimmt und freigegeben</w:t>
            </w:r>
          </w:p>
        </w:tc>
        <w:tc>
          <w:tcPr>
            <w:tcW w:type="dxa" w:w="3402"/>
          </w:tcPr>
          <w:p>
            <w:pPr>
              <w:spacing w:after="0"/>
            </w:pPr>
            <w:r>
              <w:rPr>
                <w:b w:val="0"/>
                <w:sz w:val="19"/>
              </w:rPr>
              <w:t>Konzeptdokument, Abnahmeprotokoll</w:t>
            </w:r>
          </w:p>
        </w:tc>
        <w:tc>
          <w:tcPr>
            <w:tcW w:type="dxa" w:w="1587"/>
          </w:tcPr>
          <w:p>
            <w:pPr>
              <w:spacing w:after="0"/>
            </w:pPr>
            <w:r>
              <w:rPr>
                <w:b w:val="0"/>
                <w:sz w:val="19"/>
              </w:rPr>
              <w:t>Woche 3</w:t>
            </w:r>
          </w:p>
        </w:tc>
      </w:tr>
      <w:tr>
        <w:tc>
          <w:tcPr>
            <w:tcW w:type="dxa" w:w="680"/>
          </w:tcPr>
          <w:p>
            <w:pPr>
              <w:spacing w:after="0"/>
            </w:pPr>
            <w:r>
              <w:rPr>
                <w:b w:val="0"/>
                <w:sz w:val="19"/>
              </w:rPr>
              <w:t>2</w:t>
            </w:r>
          </w:p>
        </w:tc>
        <w:tc>
          <w:tcPr>
            <w:tcW w:type="dxa" w:w="3969"/>
          </w:tcPr>
          <w:p>
            <w:pPr>
              <w:spacing w:after="0"/>
            </w:pPr>
            <w:r>
              <w:rPr>
                <w:b w:val="0"/>
                <w:sz w:val="19"/>
              </w:rPr>
              <w:t>Grundsystem konfiguriert, Belegformulare freigegeben</w:t>
            </w:r>
          </w:p>
        </w:tc>
        <w:tc>
          <w:tcPr>
            <w:tcW w:type="dxa" w:w="3402"/>
          </w:tcPr>
          <w:p>
            <w:pPr>
              <w:spacing w:after="0"/>
            </w:pPr>
            <w:r>
              <w:rPr>
                <w:b w:val="0"/>
                <w:sz w:val="19"/>
              </w:rPr>
              <w:t>Testsystem, Layoutmuster</w:t>
            </w:r>
          </w:p>
        </w:tc>
        <w:tc>
          <w:tcPr>
            <w:tcW w:type="dxa" w:w="1587"/>
          </w:tcPr>
          <w:p>
            <w:pPr>
              <w:spacing w:after="0"/>
            </w:pPr>
            <w:r>
              <w:rPr>
                <w:b w:val="0"/>
                <w:sz w:val="19"/>
              </w:rPr>
              <w:t>Woche 8</w:t>
            </w:r>
          </w:p>
        </w:tc>
      </w:tr>
      <w:tr>
        <w:tc>
          <w:tcPr>
            <w:tcW w:type="dxa" w:w="680"/>
          </w:tcPr>
          <w:p>
            <w:pPr>
              <w:spacing w:after="0"/>
            </w:pPr>
            <w:r>
              <w:rPr>
                <w:b w:val="0"/>
                <w:sz w:val="19"/>
              </w:rPr>
              <w:t>3</w:t>
            </w:r>
          </w:p>
        </w:tc>
        <w:tc>
          <w:tcPr>
            <w:tcW w:type="dxa" w:w="3969"/>
          </w:tcPr>
          <w:p>
            <w:pPr>
              <w:spacing w:after="0"/>
            </w:pPr>
            <w:r>
              <w:rPr>
                <w:b w:val="0"/>
                <w:sz w:val="19"/>
              </w:rPr>
              <w:t>Daten übernommen, Summen abgestimmt</w:t>
            </w:r>
          </w:p>
        </w:tc>
        <w:tc>
          <w:tcPr>
            <w:tcW w:type="dxa" w:w="3402"/>
          </w:tcPr>
          <w:p>
            <w:pPr>
              <w:spacing w:after="0"/>
            </w:pPr>
            <w:r>
              <w:rPr>
                <w:b w:val="0"/>
                <w:sz w:val="19"/>
              </w:rPr>
              <w:t>Migrationsprotokoll</w:t>
            </w:r>
          </w:p>
        </w:tc>
        <w:tc>
          <w:tcPr>
            <w:tcW w:type="dxa" w:w="1587"/>
          </w:tcPr>
          <w:p>
            <w:pPr>
              <w:spacing w:after="0"/>
            </w:pPr>
            <w:r>
              <w:rPr>
                <w:b w:val="0"/>
                <w:sz w:val="19"/>
              </w:rPr>
              <w:t>Woche 12</w:t>
            </w:r>
          </w:p>
        </w:tc>
      </w:tr>
      <w:tr>
        <w:tc>
          <w:tcPr>
            <w:tcW w:type="dxa" w:w="680"/>
          </w:tcPr>
          <w:p>
            <w:pPr>
              <w:spacing w:after="0"/>
            </w:pPr>
            <w:r>
              <w:rPr>
                <w:b w:val="0"/>
                <w:sz w:val="19"/>
              </w:rPr>
              <w:t>4</w:t>
            </w:r>
          </w:p>
        </w:tc>
        <w:tc>
          <w:tcPr>
            <w:tcW w:type="dxa" w:w="3969"/>
          </w:tcPr>
          <w:p>
            <w:pPr>
              <w:spacing w:after="0"/>
            </w:pPr>
            <w:r>
              <w:rPr>
                <w:b w:val="0"/>
                <w:sz w:val="19"/>
              </w:rPr>
              <w:t>Abnahmetest bestanden</w:t>
            </w:r>
          </w:p>
        </w:tc>
        <w:tc>
          <w:tcPr>
            <w:tcW w:type="dxa" w:w="3402"/>
          </w:tcPr>
          <w:p>
            <w:pPr>
              <w:spacing w:after="0"/>
            </w:pPr>
            <w:r>
              <w:rPr>
                <w:b w:val="0"/>
                <w:sz w:val="19"/>
              </w:rPr>
              <w:t>Testprotokoll, Fehlerliste geschlossen</w:t>
            </w:r>
          </w:p>
        </w:tc>
        <w:tc>
          <w:tcPr>
            <w:tcW w:type="dxa" w:w="1587"/>
          </w:tcPr>
          <w:p>
            <w:pPr>
              <w:spacing w:after="0"/>
            </w:pPr>
            <w:r>
              <w:rPr>
                <w:b w:val="0"/>
                <w:sz w:val="19"/>
              </w:rPr>
              <w:t>Woche 16</w:t>
            </w:r>
          </w:p>
        </w:tc>
      </w:tr>
      <w:tr>
        <w:tc>
          <w:tcPr>
            <w:tcW w:type="dxa" w:w="680"/>
          </w:tcPr>
          <w:p>
            <w:pPr>
              <w:spacing w:after="0"/>
            </w:pPr>
            <w:r>
              <w:rPr>
                <w:b w:val="0"/>
                <w:sz w:val="19"/>
              </w:rPr>
              <w:t>5</w:t>
            </w:r>
          </w:p>
        </w:tc>
        <w:tc>
          <w:tcPr>
            <w:tcW w:type="dxa" w:w="3969"/>
          </w:tcPr>
          <w:p>
            <w:pPr>
              <w:spacing w:after="0"/>
            </w:pPr>
            <w:r>
              <w:rPr>
                <w:b w:val="0"/>
                <w:sz w:val="19"/>
              </w:rPr>
              <w:t>Schulung durchgeführt</w:t>
            </w:r>
          </w:p>
        </w:tc>
        <w:tc>
          <w:tcPr>
            <w:tcW w:type="dxa" w:w="3402"/>
          </w:tcPr>
          <w:p>
            <w:pPr>
              <w:spacing w:after="0"/>
            </w:pPr>
            <w:r>
              <w:rPr>
                <w:b w:val="0"/>
                <w:sz w:val="19"/>
              </w:rPr>
              <w:t>Teilnehmerliste, Anwenderleitfäden</w:t>
            </w:r>
          </w:p>
        </w:tc>
        <w:tc>
          <w:tcPr>
            <w:tcW w:type="dxa" w:w="1587"/>
          </w:tcPr>
          <w:p>
            <w:pPr>
              <w:spacing w:after="0"/>
            </w:pPr>
            <w:r>
              <w:rPr>
                <w:b w:val="0"/>
                <w:sz w:val="19"/>
              </w:rPr>
              <w:t>Woche 18</w:t>
            </w:r>
          </w:p>
        </w:tc>
      </w:tr>
      <w:tr>
        <w:tc>
          <w:tcPr>
            <w:tcW w:type="dxa" w:w="680"/>
            <w:shd w:val="clear" w:fill="FFF2A8"/>
          </w:tcPr>
          <w:p>
            <w:pPr>
              <w:spacing w:after="0"/>
            </w:pPr>
            <w:r>
              <w:rPr>
                <w:b w:val="0"/>
                <w:sz w:val="19"/>
              </w:rPr>
              <w:t>6</w:t>
            </w:r>
          </w:p>
        </w:tc>
        <w:tc>
          <w:tcPr>
            <w:tcW w:type="dxa" w:w="3969"/>
            <w:shd w:val="clear" w:fill="FFF2A8"/>
          </w:tcPr>
          <w:p>
            <w:pPr>
              <w:spacing w:after="0"/>
            </w:pPr>
            <w:r>
              <w:rPr>
                <w:b/>
                <w:sz w:val="19"/>
              </w:rPr>
              <w:t>Betriebsbereitschaft</w:t>
            </w:r>
            <w:r>
              <w:rPr>
                <w:b w:val="0"/>
                <w:sz w:val="19"/>
              </w:rPr>
              <w:t xml:space="preserve"> – Stichtag für die Aktivierung</w:t>
            </w:r>
          </w:p>
        </w:tc>
        <w:tc>
          <w:tcPr>
            <w:tcW w:type="dxa" w:w="3402"/>
            <w:shd w:val="clear" w:fill="FFF2A8"/>
          </w:tcPr>
          <w:p>
            <w:pPr>
              <w:spacing w:after="0"/>
            </w:pPr>
            <w:r>
              <w:rPr>
                <w:b w:val="0"/>
                <w:sz w:val="19"/>
              </w:rPr>
              <w:t>Abnahmeprotokoll Betriebsbereitschaft</w:t>
            </w:r>
          </w:p>
        </w:tc>
        <w:tc>
          <w:tcPr>
            <w:tcW w:type="dxa" w:w="1587"/>
            <w:shd w:val="clear" w:fill="FFF2A8"/>
          </w:tcPr>
          <w:p>
            <w:pPr>
              <w:spacing w:after="0"/>
            </w:pPr>
            <w:r>
              <w:rPr>
                <w:b w:val="0"/>
                <w:sz w:val="19"/>
              </w:rPr>
              <w:t>Woche 19</w:t>
            </w:r>
          </w:p>
        </w:tc>
      </w:tr>
      <w:tr>
        <w:tc>
          <w:tcPr>
            <w:tcW w:type="dxa" w:w="680"/>
          </w:tcPr>
          <w:p>
            <w:pPr>
              <w:spacing w:after="0"/>
            </w:pPr>
            <w:r>
              <w:rPr>
                <w:b w:val="0"/>
                <w:sz w:val="19"/>
              </w:rPr>
              <w:t>7</w:t>
            </w:r>
          </w:p>
        </w:tc>
        <w:tc>
          <w:tcPr>
            <w:tcW w:type="dxa" w:w="3969"/>
          </w:tcPr>
          <w:p>
            <w:pPr>
              <w:spacing w:after="0"/>
            </w:pPr>
            <w:r>
              <w:rPr>
                <w:b w:val="0"/>
                <w:sz w:val="19"/>
              </w:rPr>
              <w:t>Betreuungsphase abgeschlossen</w:t>
            </w:r>
          </w:p>
        </w:tc>
        <w:tc>
          <w:tcPr>
            <w:tcW w:type="dxa" w:w="3402"/>
          </w:tcPr>
          <w:p>
            <w:pPr>
              <w:spacing w:after="0"/>
            </w:pPr>
            <w:r>
              <w:rPr>
                <w:b w:val="0"/>
                <w:sz w:val="19"/>
              </w:rPr>
              <w:t>Abschlussbericht, offene Punkte übergeben</w:t>
            </w:r>
          </w:p>
        </w:tc>
        <w:tc>
          <w:tcPr>
            <w:tcW w:type="dxa" w:w="1587"/>
          </w:tcPr>
          <w:p>
            <w:pPr>
              <w:spacing w:after="0"/>
            </w:pPr>
            <w:r>
              <w:rPr>
                <w:b w:val="0"/>
                <w:sz w:val="19"/>
              </w:rPr>
              <w:t>Woche 23</w:t>
            </w:r>
          </w:p>
        </w:tc>
      </w:tr>
    </w:tbl>
    <w:p>
      <w:pPr>
        <w:spacing w:after="240"/>
      </w:pPr>
      <w:r>
        <w:rPr>
          <w:b w:val="0"/>
          <w:i/>
          <w:sz w:val="18"/>
        </w:rPr>
        <w:t>Der Meilenstein Betriebsbereitschaft ist der Stichtag, bis zu dem zurechenbare Herstellungskosten anfallen. Er wird mit einem eigenen Abnahmeprotokoll dokumentiert.</w:t>
      </w:r>
    </w:p>
    <w:p>
      <w:pPr>
        <w:spacing w:before="280" w:after="0"/>
      </w:pPr>
      <w:r>
        <w:rPr>
          <w:rFonts w:ascii="Calibri" w:hAnsi="Calibri"/>
          <w:b/>
          <w:color w:val="7F7F7F"/>
          <w:sz w:val="15"/>
        </w:rPr>
        <w:t>WAS BIOTEC BEISTEUERT</w:t>
      </w:r>
    </w:p>
    <w:p>
      <w:pPr>
        <w:spacing w:before="40" w:after="120"/>
        <w:pBdr>
          <w:bottom w:val="single" w:sz="8" w:space="2" w:color="1F4E79"/>
        </w:pBdr>
      </w:pPr>
      <w:r>
        <w:rPr>
          <w:b/>
          <w:color w:val="1F4E79"/>
          <w:sz w:val="26"/>
        </w:rPr>
        <w:t>Mitwirkung von biotec</w:t>
      </w:r>
    </w:p>
    <w:p>
      <w:pPr>
        <w:spacing w:after="120"/>
      </w:pPr>
      <w:r>
        <w:rPr>
          <w:b w:val="0"/>
          <w:i w:val="0"/>
          <w:sz w:val="20"/>
        </w:rPr>
        <w:t>Eine Einführung gelingt nur gemeinsam. Die folgenden Punkte liegen bei biotec und sind terminkritisch – ohne sie verschiebt sich der Plan.</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680"/>
            <w:shd w:val="clear" w:fill="1F4E79"/>
          </w:tcPr>
          <w:p>
            <w:pPr>
              <w:spacing w:after="0"/>
            </w:pPr>
            <w:r>
              <w:rPr>
                <w:b/>
                <w:color w:val="FFFFFF"/>
                <w:sz w:val="19"/>
              </w:rPr>
              <w:t>Nr.</w:t>
            </w:r>
          </w:p>
        </w:tc>
        <w:tc>
          <w:tcPr>
            <w:tcW w:type="dxa" w:w="6236"/>
            <w:shd w:val="clear" w:fill="1F4E79"/>
          </w:tcPr>
          <w:p>
            <w:pPr>
              <w:spacing w:after="0"/>
            </w:pPr>
            <w:r>
              <w:rPr>
                <w:b/>
                <w:color w:val="FFFFFF"/>
                <w:sz w:val="19"/>
              </w:rPr>
              <w:t>Aufgabe</w:t>
            </w:r>
          </w:p>
        </w:tc>
        <w:tc>
          <w:tcPr>
            <w:tcW w:type="dxa" w:w="1701"/>
            <w:shd w:val="clear" w:fill="1F4E79"/>
          </w:tcPr>
          <w:p>
            <w:pPr>
              <w:spacing w:after="0"/>
            </w:pPr>
            <w:r>
              <w:rPr>
                <w:b/>
                <w:color w:val="FFFFFF"/>
                <w:sz w:val="19"/>
              </w:rPr>
              <w:t>Wer</w:t>
            </w:r>
          </w:p>
        </w:tc>
        <w:tc>
          <w:tcPr>
            <w:tcW w:type="dxa" w:w="1020"/>
            <w:shd w:val="clear" w:fill="1F4E79"/>
          </w:tcPr>
          <w:p>
            <w:pPr>
              <w:spacing w:after="0"/>
            </w:pPr>
            <w:r>
              <w:rPr>
                <w:b/>
                <w:color w:val="FFFFFF"/>
                <w:sz w:val="19"/>
              </w:rPr>
              <w:t>Wann</w:t>
            </w:r>
          </w:p>
        </w:tc>
      </w:tr>
      <w:tr>
        <w:tc>
          <w:tcPr>
            <w:tcW w:type="dxa" w:w="680"/>
            <w:shd w:val="clear" w:fill="FFF2A8"/>
          </w:tcPr>
          <w:p>
            <w:pPr>
              <w:spacing w:after="0"/>
            </w:pPr>
            <w:r>
              <w:rPr>
                <w:b w:val="0"/>
                <w:sz w:val="19"/>
              </w:rPr>
              <w:t>M1</w:t>
            </w:r>
          </w:p>
        </w:tc>
        <w:tc>
          <w:tcPr>
            <w:tcW w:type="dxa" w:w="6236"/>
            <w:shd w:val="clear" w:fill="FFF2A8"/>
          </w:tcPr>
          <w:p>
            <w:pPr>
              <w:spacing w:after="0"/>
            </w:pPr>
            <w:r>
              <w:rPr>
                <w:b/>
                <w:sz w:val="19"/>
              </w:rPr>
              <w:t>Stichtagsinventur</w:t>
            </w:r>
            <w:r>
              <w:rPr>
                <w:b w:val="0"/>
                <w:sz w:val="19"/>
              </w:rPr>
              <w:t xml:space="preserve"> des Verbrauchsmaterials unmittelbar vor der Umstellung – Gelatinefilter, Nährmedien, Röhrchen. Eine vollständige Lagerliste besteht heute nicht; der Bestand wird gezählt, nicht migriert</w:t>
            </w:r>
          </w:p>
        </w:tc>
        <w:tc>
          <w:tcPr>
            <w:tcW w:type="dxa" w:w="1701"/>
            <w:shd w:val="clear" w:fill="FFF2A8"/>
          </w:tcPr>
          <w:p>
            <w:pPr>
              <w:spacing w:after="0"/>
            </w:pPr>
            <w:r>
              <w:rPr>
                <w:b w:val="0"/>
                <w:sz w:val="19"/>
              </w:rPr>
              <w:t>biotec</w:t>
            </w:r>
          </w:p>
        </w:tc>
        <w:tc>
          <w:tcPr>
            <w:tcW w:type="dxa" w:w="1020"/>
            <w:shd w:val="clear" w:fill="FFF2A8"/>
          </w:tcPr>
          <w:p>
            <w:pPr>
              <w:spacing w:after="0"/>
            </w:pPr>
            <w:r>
              <w:rPr>
                <w:b w:val="0"/>
                <w:sz w:val="19"/>
              </w:rPr>
              <w:t>vor Go-live</w:t>
            </w:r>
          </w:p>
        </w:tc>
      </w:tr>
      <w:tr>
        <w:tc>
          <w:tcPr>
            <w:tcW w:type="dxa" w:w="680"/>
            <w:shd w:val="clear" w:fill="FFF2A8"/>
          </w:tcPr>
          <w:p>
            <w:pPr>
              <w:spacing w:after="0"/>
            </w:pPr>
            <w:r>
              <w:rPr>
                <w:b w:val="0"/>
                <w:sz w:val="19"/>
              </w:rPr>
              <w:t>M2</w:t>
            </w:r>
          </w:p>
        </w:tc>
        <w:tc>
          <w:tcPr>
            <w:tcW w:type="dxa" w:w="6236"/>
            <w:shd w:val="clear" w:fill="FFF2A8"/>
          </w:tcPr>
          <w:p>
            <w:pPr>
              <w:spacing w:after="0"/>
            </w:pPr>
            <w:r>
              <w:rPr>
                <w:b/>
                <w:sz w:val="19"/>
              </w:rPr>
              <w:t>Finale Unterlagen zum Stichtag:</w:t>
            </w:r>
            <w:r>
              <w:rPr>
                <w:b w:val="0"/>
                <w:sz w:val="19"/>
              </w:rPr>
              <w:t xml:space="preserve"> offene Posten Debitoren und Kreditoren, Saldenvortrag, letzter Kontostand</w:t>
            </w:r>
          </w:p>
        </w:tc>
        <w:tc>
          <w:tcPr>
            <w:tcW w:type="dxa" w:w="1701"/>
            <w:shd w:val="clear" w:fill="FFF2A8"/>
          </w:tcPr>
          <w:p>
            <w:pPr>
              <w:spacing w:after="0"/>
            </w:pPr>
            <w:r>
              <w:rPr>
                <w:b w:val="0"/>
                <w:sz w:val="19"/>
              </w:rPr>
              <w:t>Buchhaltung</w:t>
            </w:r>
          </w:p>
        </w:tc>
        <w:tc>
          <w:tcPr>
            <w:tcW w:type="dxa" w:w="1020"/>
            <w:shd w:val="clear" w:fill="FFF2A8"/>
          </w:tcPr>
          <w:p>
            <w:pPr>
              <w:spacing w:after="0"/>
            </w:pPr>
            <w:r>
              <w:rPr>
                <w:b w:val="0"/>
                <w:sz w:val="19"/>
              </w:rPr>
              <w:t>Stichtag</w:t>
            </w:r>
          </w:p>
        </w:tc>
      </w:tr>
      <w:tr>
        <w:tc>
          <w:tcPr>
            <w:tcW w:type="dxa" w:w="680"/>
          </w:tcPr>
          <w:p>
            <w:pPr>
              <w:spacing w:after="0"/>
            </w:pPr>
            <w:r>
              <w:rPr>
                <w:b w:val="0"/>
                <w:sz w:val="19"/>
              </w:rPr>
              <w:t>M3</w:t>
            </w:r>
          </w:p>
        </w:tc>
        <w:tc>
          <w:tcPr>
            <w:tcW w:type="dxa" w:w="6236"/>
          </w:tcPr>
          <w:p>
            <w:pPr>
              <w:spacing w:after="0"/>
            </w:pPr>
            <w:r>
              <w:rPr>
                <w:b/>
                <w:sz w:val="19"/>
              </w:rPr>
              <w:t>Summen- und Saldenliste als Excel oder CSV.</w:t>
            </w:r>
            <w:r>
              <w:rPr>
                <w:b w:val="0"/>
                <w:sz w:val="19"/>
              </w:rPr>
              <w:t xml:space="preserve"> Die vorliegende Fassung besteht aus Bildschirmfotos und ist maschinell nicht auswertbar</w:t>
            </w:r>
          </w:p>
        </w:tc>
        <w:tc>
          <w:tcPr>
            <w:tcW w:type="dxa" w:w="1701"/>
          </w:tcPr>
          <w:p>
            <w:pPr>
              <w:spacing w:after="0"/>
            </w:pPr>
            <w:r>
              <w:rPr>
                <w:b w:val="0"/>
                <w:sz w:val="19"/>
              </w:rPr>
              <w:t>Buchhaltung</w:t>
            </w:r>
          </w:p>
        </w:tc>
        <w:tc>
          <w:tcPr>
            <w:tcW w:type="dxa" w:w="1020"/>
          </w:tcPr>
          <w:p>
            <w:pPr>
              <w:spacing w:after="0"/>
            </w:pPr>
            <w:r>
              <w:rPr>
                <w:b w:val="0"/>
                <w:sz w:val="19"/>
              </w:rPr>
              <w:t>Projektstart</w:t>
            </w:r>
          </w:p>
        </w:tc>
      </w:tr>
      <w:tr>
        <w:tc>
          <w:tcPr>
            <w:tcW w:type="dxa" w:w="680"/>
          </w:tcPr>
          <w:p>
            <w:pPr>
              <w:spacing w:after="0"/>
            </w:pPr>
            <w:r>
              <w:rPr>
                <w:b w:val="0"/>
                <w:sz w:val="19"/>
              </w:rPr>
              <w:t>M4</w:t>
            </w:r>
          </w:p>
        </w:tc>
        <w:tc>
          <w:tcPr>
            <w:tcW w:type="dxa" w:w="6236"/>
          </w:tcPr>
          <w:p>
            <w:pPr>
              <w:spacing w:after="0"/>
            </w:pPr>
            <w:r>
              <w:rPr>
                <w:b w:val="0"/>
                <w:sz w:val="19"/>
              </w:rPr>
              <w:t>Fehlende Quelldateien des Altsystems, vor allem die Briefköpfe und Vorlagen aus der Gutachten-Software</w:t>
            </w:r>
          </w:p>
        </w:tc>
        <w:tc>
          <w:tcPr>
            <w:tcW w:type="dxa" w:w="1701"/>
          </w:tcPr>
          <w:p>
            <w:pPr>
              <w:spacing w:after="0"/>
            </w:pPr>
            <w:r>
              <w:rPr>
                <w:b w:val="0"/>
                <w:sz w:val="19"/>
              </w:rPr>
              <w:t>Westbomke EDV</w:t>
            </w:r>
          </w:p>
        </w:tc>
        <w:tc>
          <w:tcPr>
            <w:tcW w:type="dxa" w:w="1020"/>
          </w:tcPr>
          <w:p>
            <w:pPr>
              <w:spacing w:after="0"/>
            </w:pPr>
            <w:r>
              <w:rPr>
                <w:b w:val="0"/>
                <w:sz w:val="19"/>
              </w:rPr>
              <w:t>vor Layoutarbeit</w:t>
            </w:r>
          </w:p>
        </w:tc>
      </w:tr>
      <w:tr>
        <w:tc>
          <w:tcPr>
            <w:tcW w:type="dxa" w:w="680"/>
          </w:tcPr>
          <w:p>
            <w:pPr>
              <w:spacing w:after="0"/>
            </w:pPr>
            <w:r>
              <w:rPr>
                <w:b w:val="0"/>
                <w:sz w:val="19"/>
              </w:rPr>
              <w:t>M5</w:t>
            </w:r>
          </w:p>
        </w:tc>
        <w:tc>
          <w:tcPr>
            <w:tcW w:type="dxa" w:w="6236"/>
          </w:tcPr>
          <w:p>
            <w:pPr>
              <w:spacing w:after="0"/>
            </w:pPr>
            <w:r>
              <w:rPr>
                <w:b w:val="0"/>
                <w:sz w:val="19"/>
              </w:rPr>
              <w:t>Prüfintervalle je Anlagentyp: nach welcher Regel wird heute terminiert</w:t>
            </w:r>
          </w:p>
        </w:tc>
        <w:tc>
          <w:tcPr>
            <w:tcW w:type="dxa" w:w="1701"/>
          </w:tcPr>
          <w:p>
            <w:pPr>
              <w:spacing w:after="0"/>
            </w:pPr>
            <w:r>
              <w:rPr>
                <w:b w:val="0"/>
                <w:sz w:val="19"/>
              </w:rPr>
              <w:t>biotec</w:t>
            </w:r>
          </w:p>
        </w:tc>
        <w:tc>
          <w:tcPr>
            <w:tcW w:type="dxa" w:w="1020"/>
          </w:tcPr>
          <w:p>
            <w:pPr>
              <w:spacing w:after="0"/>
            </w:pPr>
            <w:r>
              <w:rPr>
                <w:b w:val="0"/>
                <w:sz w:val="19"/>
              </w:rPr>
              <w:t>vor Konfiguration</w:t>
            </w:r>
          </w:p>
        </w:tc>
      </w:tr>
      <w:tr>
        <w:tc>
          <w:tcPr>
            <w:tcW w:type="dxa" w:w="680"/>
          </w:tcPr>
          <w:p>
            <w:pPr>
              <w:spacing w:after="0"/>
            </w:pPr>
            <w:r>
              <w:rPr>
                <w:b w:val="0"/>
                <w:sz w:val="19"/>
              </w:rPr>
              <w:t>M6</w:t>
            </w:r>
          </w:p>
        </w:tc>
        <w:tc>
          <w:tcPr>
            <w:tcW w:type="dxa" w:w="6236"/>
          </w:tcPr>
          <w:p>
            <w:pPr>
              <w:spacing w:after="0"/>
            </w:pPr>
            <w:r>
              <w:rPr>
                <w:b w:val="0"/>
                <w:sz w:val="19"/>
              </w:rPr>
              <w:t>Bestätigung des gültigen Kundenstands – im Altsystem liegen mehrere Fassungen nebeneinander</w:t>
            </w:r>
          </w:p>
        </w:tc>
        <w:tc>
          <w:tcPr>
            <w:tcW w:type="dxa" w:w="1701"/>
          </w:tcPr>
          <w:p>
            <w:pPr>
              <w:spacing w:after="0"/>
            </w:pPr>
            <w:r>
              <w:rPr>
                <w:b w:val="0"/>
                <w:sz w:val="19"/>
              </w:rPr>
              <w:t>biotec</w:t>
            </w:r>
          </w:p>
        </w:tc>
        <w:tc>
          <w:tcPr>
            <w:tcW w:type="dxa" w:w="1020"/>
          </w:tcPr>
          <w:p>
            <w:pPr>
              <w:spacing w:after="0"/>
            </w:pPr>
            <w:r>
              <w:rPr>
                <w:b w:val="0"/>
                <w:sz w:val="19"/>
              </w:rPr>
              <w:t>vor Migration</w:t>
            </w:r>
          </w:p>
        </w:tc>
      </w:tr>
      <w:tr>
        <w:tc>
          <w:tcPr>
            <w:tcW w:type="dxa" w:w="680"/>
          </w:tcPr>
          <w:p>
            <w:pPr>
              <w:spacing w:after="0"/>
            </w:pPr>
            <w:r>
              <w:rPr>
                <w:b w:val="0"/>
                <w:sz w:val="19"/>
              </w:rPr>
              <w:t>M7</w:t>
            </w:r>
          </w:p>
        </w:tc>
        <w:tc>
          <w:tcPr>
            <w:tcW w:type="dxa" w:w="6236"/>
          </w:tcPr>
          <w:p>
            <w:pPr>
              <w:spacing w:after="0"/>
            </w:pPr>
            <w:r>
              <w:rPr>
                <w:b w:val="0"/>
                <w:sz w:val="19"/>
              </w:rPr>
              <w:t>Freigabe der Belegformulare durch die Geschäftsführung, bevor sie gebaut werden</w:t>
            </w:r>
          </w:p>
        </w:tc>
        <w:tc>
          <w:tcPr>
            <w:tcW w:type="dxa" w:w="1701"/>
          </w:tcPr>
          <w:p>
            <w:pPr>
              <w:spacing w:after="0"/>
            </w:pPr>
            <w:r>
              <w:rPr>
                <w:b w:val="0"/>
                <w:sz w:val="19"/>
              </w:rPr>
              <w:t>biotec</w:t>
            </w:r>
          </w:p>
        </w:tc>
        <w:tc>
          <w:tcPr>
            <w:tcW w:type="dxa" w:w="1020"/>
          </w:tcPr>
          <w:p>
            <w:pPr>
              <w:spacing w:after="0"/>
            </w:pPr>
            <w:r>
              <w:rPr>
                <w:b w:val="0"/>
                <w:sz w:val="19"/>
              </w:rPr>
              <w:t>Meilenstein 2</w:t>
            </w:r>
          </w:p>
        </w:tc>
      </w:tr>
      <w:tr>
        <w:tc>
          <w:tcPr>
            <w:tcW w:type="dxa" w:w="680"/>
          </w:tcPr>
          <w:p>
            <w:pPr>
              <w:spacing w:after="0"/>
            </w:pPr>
            <w:r>
              <w:rPr>
                <w:b w:val="0"/>
                <w:sz w:val="19"/>
              </w:rPr>
              <w:t>M8</w:t>
            </w:r>
          </w:p>
        </w:tc>
        <w:tc>
          <w:tcPr>
            <w:tcW w:type="dxa" w:w="6236"/>
          </w:tcPr>
          <w:p>
            <w:pPr>
              <w:spacing w:after="0"/>
            </w:pPr>
            <w:r>
              <w:rPr>
                <w:b w:val="0"/>
                <w:sz w:val="19"/>
              </w:rPr>
              <w:t>Benennung der vier Personen für die Vor-Ort-Schulung</w:t>
            </w:r>
          </w:p>
        </w:tc>
        <w:tc>
          <w:tcPr>
            <w:tcW w:type="dxa" w:w="1701"/>
          </w:tcPr>
          <w:p>
            <w:pPr>
              <w:spacing w:after="0"/>
            </w:pPr>
            <w:r>
              <w:rPr>
                <w:b w:val="0"/>
                <w:sz w:val="19"/>
              </w:rPr>
              <w:t>biotec</w:t>
            </w:r>
          </w:p>
        </w:tc>
        <w:tc>
          <w:tcPr>
            <w:tcW w:type="dxa" w:w="1020"/>
          </w:tcPr>
          <w:p>
            <w:pPr>
              <w:spacing w:after="0"/>
            </w:pPr>
            <w:r>
              <w:rPr>
                <w:b w:val="0"/>
                <w:sz w:val="19"/>
              </w:rPr>
              <w:t>vor Meilenstein 4</w:t>
            </w:r>
          </w:p>
        </w:tc>
      </w:tr>
      <w:tr>
        <w:tc>
          <w:tcPr>
            <w:tcW w:type="dxa" w:w="680"/>
          </w:tcPr>
          <w:p>
            <w:pPr>
              <w:spacing w:after="0"/>
            </w:pPr>
            <w:r>
              <w:rPr>
                <w:b w:val="0"/>
                <w:sz w:val="19"/>
              </w:rPr>
              <w:t>M9</w:t>
            </w:r>
          </w:p>
        </w:tc>
        <w:tc>
          <w:tcPr>
            <w:tcW w:type="dxa" w:w="6236"/>
          </w:tcPr>
          <w:p>
            <w:pPr>
              <w:spacing w:after="0"/>
            </w:pPr>
            <w:r>
              <w:rPr>
                <w:b w:val="0"/>
                <w:sz w:val="19"/>
              </w:rPr>
              <w:t>Verfügbarkeit der Fachbereiche für Abstimmung, Test und Betriebssimulation – erfahrungsgemäß ein halber Tag je Woche und Bereich</w:t>
            </w:r>
          </w:p>
        </w:tc>
        <w:tc>
          <w:tcPr>
            <w:tcW w:type="dxa" w:w="1701"/>
          </w:tcPr>
          <w:p>
            <w:pPr>
              <w:spacing w:after="0"/>
            </w:pPr>
            <w:r>
              <w:rPr>
                <w:b w:val="0"/>
                <w:sz w:val="19"/>
              </w:rPr>
              <w:t>biotec</w:t>
            </w:r>
          </w:p>
        </w:tc>
        <w:tc>
          <w:tcPr>
            <w:tcW w:type="dxa" w:w="1020"/>
          </w:tcPr>
          <w:p>
            <w:pPr>
              <w:spacing w:after="0"/>
            </w:pPr>
            <w:r>
              <w:rPr>
                <w:b w:val="0"/>
                <w:sz w:val="19"/>
              </w:rPr>
              <w:t>laufend</w:t>
            </w:r>
          </w:p>
        </w:tc>
      </w:tr>
      <w:tr>
        <w:tc>
          <w:tcPr>
            <w:tcW w:type="dxa" w:w="680"/>
          </w:tcPr>
          <w:p>
            <w:pPr>
              <w:spacing w:after="0"/>
            </w:pPr>
            <w:r>
              <w:rPr>
                <w:b w:val="0"/>
                <w:sz w:val="19"/>
              </w:rPr>
              <w:t>M10</w:t>
            </w:r>
          </w:p>
        </w:tc>
        <w:tc>
          <w:tcPr>
            <w:tcW w:type="dxa" w:w="6236"/>
          </w:tcPr>
          <w:p>
            <w:pPr>
              <w:spacing w:after="0"/>
            </w:pPr>
            <w:r>
              <w:rPr>
                <w:b w:val="0"/>
                <w:sz w:val="19"/>
              </w:rPr>
              <w:t>Zugang zum produktiven Bestand des Altsystems und eine Sicherung zum Testen, dazu Zugriff auf das Vorlagenverzeichnis</w:t>
            </w:r>
          </w:p>
        </w:tc>
        <w:tc>
          <w:tcPr>
            <w:tcW w:type="dxa" w:w="1701"/>
          </w:tcPr>
          <w:p>
            <w:pPr>
              <w:spacing w:after="0"/>
            </w:pPr>
            <w:r>
              <w:rPr>
                <w:b w:val="0"/>
                <w:sz w:val="19"/>
              </w:rPr>
              <w:t>Westbomke EDV</w:t>
            </w:r>
          </w:p>
        </w:tc>
        <w:tc>
          <w:tcPr>
            <w:tcW w:type="dxa" w:w="1020"/>
          </w:tcPr>
          <w:p>
            <w:pPr>
              <w:spacing w:after="0"/>
            </w:pPr>
            <w:r>
              <w:rPr>
                <w:b w:val="0"/>
                <w:sz w:val="19"/>
              </w:rPr>
              <w:t>Projektstart</w:t>
            </w:r>
          </w:p>
        </w:tc>
      </w:tr>
    </w:tbl>
    <w:p>
      <w:pPr>
        <w:spacing w:before="280" w:after="0"/>
      </w:pPr>
      <w:r>
        <w:rPr>
          <w:rFonts w:ascii="Calibri" w:hAnsi="Calibri"/>
          <w:b/>
          <w:color w:val="7F7F7F"/>
          <w:sz w:val="15"/>
        </w:rPr>
        <w:t>WORAN DIE KALKULATION HÄNGT</w:t>
      </w:r>
    </w:p>
    <w:p>
      <w:pPr>
        <w:spacing w:before="40" w:after="120"/>
        <w:pBdr>
          <w:bottom w:val="single" w:sz="8" w:space="2" w:color="1F4E79"/>
        </w:pBdr>
      </w:pPr>
      <w:r>
        <w:rPr>
          <w:b/>
          <w:color w:val="1F4E79"/>
          <w:sz w:val="26"/>
        </w:rPr>
        <w:t>Annahmen und Voraussetzungen</w:t>
      </w:r>
    </w:p>
    <w:p>
      <w:pPr>
        <w:spacing w:before="20" w:after="20"/>
        <w:ind w:left="397"/>
      </w:pPr>
      <w:r>
        <w:t>– Odoo wird in einer Fassung betrieben, die eigene Module zulässt. Bei einem reinen Mietbetrieb ohne eigene Module ändern sich Aufwand und die Frage der Aktivierung.</w:t>
      </w:r>
    </w:p>
    <w:p>
      <w:pPr>
        <w:spacing w:before="20" w:after="20"/>
        <w:ind w:left="397"/>
      </w:pPr>
      <w:r>
        <w:t>– Die drei Standorte werden als eine Gesellschaft mit analytischer Trennung abgebildet, nicht als getrennte Mandanten.</w:t>
      </w:r>
    </w:p>
    <w:p>
      <w:pPr>
        <w:spacing w:before="20" w:after="20"/>
        <w:ind w:left="397"/>
      </w:pPr>
      <w:r>
        <w:t>– Die Buchführung bleibt bei biotec; der Steuerberater erhält einen DATEV-Export.</w:t>
      </w:r>
    </w:p>
    <w:p>
      <w:pPr>
        <w:spacing w:before="20" w:after="20"/>
        <w:ind w:left="397"/>
      </w:pPr>
      <w:r>
        <w:t>– Das Gutachtenlayout bleibt unverändert und wird nicht in Odoo nachgebaut.</w:t>
      </w:r>
    </w:p>
    <w:p>
      <w:pPr>
        <w:spacing w:before="20" w:after="20"/>
        <w:ind w:left="397"/>
      </w:pPr>
      <w:r>
        <w:t>– Die Prüflisten nach VDI 6022 bleiben im bestehenden System; eine Abbildung in Odoo ist nicht Gegenstand dieses Angebots.</w:t>
      </w:r>
    </w:p>
    <w:p>
      <w:pPr>
        <w:spacing w:before="20" w:after="20"/>
        <w:ind w:left="397"/>
      </w:pPr>
      <w:r>
        <w:t>– Der Kundenstamm wird neu aufgebaut, nicht eins zu eins übernommen. Die vorliegende Liste ist eine Kontaktliste ohne Kundennummern und Konditionen.</w:t>
      </w:r>
    </w:p>
    <w:p>
      <w:pPr>
        <w:spacing w:before="20" w:after="20"/>
        <w:ind w:left="397"/>
      </w:pPr>
      <w:r>
        <w:t>– Lagerbestände werden zum Stichtag gezählt und nicht aus dem Altsystem übernommen.</w:t>
      </w:r>
    </w:p>
    <w:p>
      <w:pPr>
        <w:spacing w:before="20" w:after="20"/>
        <w:ind w:left="397"/>
      </w:pPr>
      <w:r>
        <w:t>– Zeitaufnahmen der heutigen Abläufe liegen nicht vor. Die Aufwände beruhen auf der Auswertung der gelieferten Daten und auf Erfahrungswerten aus vergleichbaren Einführungen.</w:t>
      </w:r>
    </w:p>
    <w:p>
      <w:pPr>
        <w:spacing w:before="280" w:after="0"/>
      </w:pPr>
      <w:r>
        <w:rPr>
          <w:rFonts w:ascii="Calibri" w:hAnsi="Calibri"/>
          <w:b/>
          <w:color w:val="7F7F7F"/>
          <w:sz w:val="15"/>
        </w:rPr>
        <w:t>KLARSTELLUNG</w:t>
      </w:r>
    </w:p>
    <w:p>
      <w:pPr>
        <w:spacing w:before="40" w:after="120"/>
        <w:pBdr>
          <w:bottom w:val="single" w:sz="8" w:space="2" w:color="1F4E79"/>
        </w:pBdr>
      </w:pPr>
      <w:r>
        <w:rPr>
          <w:b/>
          <w:color w:val="1F4E79"/>
          <w:sz w:val="26"/>
        </w:rPr>
        <w:t>Nicht enthalten</w:t>
      </w:r>
    </w:p>
    <w:p>
      <w:pPr>
        <w:spacing w:before="20" w:after="20"/>
        <w:ind w:left="397"/>
      </w:pPr>
      <w:r>
        <w:t>– Lizenz-, Hosting- und Betriebskosten für Odoo</w:t>
      </w:r>
    </w:p>
    <w:p>
      <w:pPr>
        <w:spacing w:before="20" w:after="20"/>
        <w:ind w:left="397"/>
      </w:pPr>
      <w:r>
        <w:t>– Änderungen an der bestehenden Gutachtenanwendung</w:t>
      </w:r>
    </w:p>
    <w:p>
      <w:pPr>
        <w:spacing w:before="20" w:after="20"/>
        <w:ind w:left="397"/>
      </w:pPr>
      <w:r>
        <w:t>– Abbildung der Prüflisten oder der Labormasken in Odoo</w:t>
      </w:r>
    </w:p>
    <w:p>
      <w:pPr>
        <w:spacing w:before="20" w:after="20"/>
        <w:ind w:left="397"/>
      </w:pPr>
      <w:r>
        <w:t>– Webshop und Online-Buchung der Seminare</w:t>
      </w:r>
    </w:p>
    <w:p>
      <w:pPr>
        <w:spacing w:before="20" w:after="20"/>
        <w:ind w:left="397"/>
      </w:pPr>
      <w:r>
        <w:t>– Fertigung und Stücklisten über die vorhandene geringe Eigenproduktion hinaus</w:t>
      </w:r>
    </w:p>
    <w:p>
      <w:pPr>
        <w:spacing w:before="20" w:after="20"/>
        <w:ind w:left="397"/>
      </w:pPr>
      <w:r>
        <w:t>– Steuerliche und bilanzielle Beratung, insbesondere zur Aktivierung</w:t>
      </w:r>
    </w:p>
    <w:p>
      <w:pPr>
        <w:spacing w:before="20" w:after="20"/>
        <w:ind w:left="397"/>
      </w:pPr>
      <w:r>
        <w:t>– Rechtsberatung, Prüfung der Vertrags- und Belegtexte</w:t>
      </w:r>
    </w:p>
    <w:p>
      <w:pPr>
        <w:spacing w:before="280" w:after="120"/>
        <w:pBdr>
          <w:bottom w:val="single" w:sz="8" w:space="2" w:color="1F4E79"/>
        </w:pBdr>
      </w:pPr>
      <w:r>
        <w:rPr>
          <w:b/>
          <w:color w:val="1F4E79"/>
          <w:sz w:val="26"/>
        </w:rPr>
        <w:t>Nächster Schritt</w:t>
      </w:r>
    </w:p>
    <w:p>
      <w:pPr>
        <w:spacing w:after="120"/>
      </w:pPr>
      <w:r>
        <w:rPr>
          <w:b w:val="0"/>
          <w:i w:val="0"/>
          <w:sz w:val="20"/>
        </w:rPr>
        <w:t>Wir schlagen vor, dieses Angebot in einem Termin gemeinsam durchzugehen und die Punkte unter Mitwirkung zu terminieren. Nach Beauftragung beginnen wir mit der Prozessaufnahme; die erste Fassung des Soll-Konzepts liegt drei Wochen später vor.</w:t>
      </w:r>
    </w:p>
    <w:p>
      <w:pPr>
        <w:spacing w:after="360"/>
      </w:pPr>
      <w:r>
        <w:rPr>
          <w:b w:val="0"/>
          <w:i w:val="0"/>
          <w:sz w:val="20"/>
        </w:rPr>
        <w:t>Für Rückfragen stehe ich jederzeit zur Verfügung.</w:t>
      </w:r>
    </w:p>
    <w:tbl>
      <w:tblPr>
        <w:tblStyle w:val="TableGrid"/>
        <w:tblW w:type="auto" w:w="0"/>
        <w:jc w:val="left"/>
        <w:tblLook w:firstColumn="1" w:firstRow="1" w:lastColumn="0" w:lastRow="0" w:noHBand="0" w:noVBand="1" w:val="04A0"/>
      </w:tblPr>
      <w:tblGrid>
        <w:gridCol w:w="4819"/>
        <w:gridCol w:w="4819"/>
      </w:tblGrid>
      <w:tr>
        <w:tc>
          <w:tcPr>
            <w:tcW w:type="dxa" w:w="4819"/>
            <w:shd w:val="clear" w:fill="1F4E79"/>
          </w:tcPr>
          <w:p>
            <w:pPr>
              <w:spacing w:after="0"/>
            </w:pPr>
            <w:r>
              <w:rPr>
                <w:b/>
                <w:color w:val="FFFFFF"/>
                <w:sz w:val="19"/>
              </w:rPr>
              <w:t>biotec GmbH</w:t>
            </w:r>
          </w:p>
        </w:tc>
        <w:tc>
          <w:tcPr>
            <w:tcW w:type="dxa" w:w="4819"/>
            <w:shd w:val="clear" w:fill="1F4E79"/>
          </w:tcPr>
          <w:p>
            <w:pPr>
              <w:spacing w:after="0"/>
            </w:pPr>
            <w:r>
              <w:rPr>
                <w:b/>
                <w:color w:val="FFFFFF"/>
                <w:sz w:val="19"/>
              </w:rPr>
              <w:t>CertoClav Sterilizer GmbH</w:t>
            </w:r>
          </w:p>
        </w:tc>
      </w:tr>
      <w:tr>
        <w:tc>
          <w:tcPr>
            <w:tcW w:type="dxa" w:w="4819"/>
          </w:tcPr>
          <w:p>
            <w:pPr>
              <w:spacing w:after="0"/>
            </w:pPr>
            <w:r>
              <w:rPr>
                <w:b w:val="0"/>
                <w:sz w:val="19"/>
              </w:rPr>
              <w:br/>
              <w:br/>
              <w:t>Ort, Datum</w:t>
              <w:br/>
              <w:br/>
              <w:br/>
              <w:br/>
              <w:br/>
              <w:t>________________________________</w:t>
              <w:br/>
              <w:t>Dr. Thomas Wilke</w:t>
              <w:br/>
              <w:t>Geschäftsführer</w:t>
            </w:r>
          </w:p>
        </w:tc>
        <w:tc>
          <w:tcPr>
            <w:tcW w:type="dxa" w:w="4819"/>
          </w:tcPr>
          <w:p>
            <w:pPr>
              <w:spacing w:after="0"/>
            </w:pPr>
            <w:r>
              <w:rPr>
                <w:b w:val="0"/>
                <w:sz w:val="19"/>
              </w:rPr>
              <w:br/>
              <w:br/>
              <w:t>Ort, Datum</w:t>
              <w:br/>
              <w:br/>
              <w:br/>
              <w:br/>
              <w:br/>
              <w:t>________________________________</w:t>
              <w:br/>
              <w:t>Michael Simon (geb. Dirix), MSc.</w:t>
              <w:br/>
              <w:t>Geschäftsführer</w:t>
            </w:r>
          </w:p>
        </w:tc>
      </w:tr>
    </w:tbl>
    <w:sectPr w:rsidR="00FC693F" w:rsidRPr="0006063C" w:rsidSect="00034616">
      <w:headerReference w:type="default" r:id="rId9"/>
      <w:footerReference w:type="default" r:id="rId10"/>
      <w:pgSz w:w="11906" w:h="16838"/>
      <w:pgMar w:top="124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color w:val="7F7F7F"/>
        <w:sz w:val="13"/>
      </w:rPr>
      <w:t>CertoClav Sterilizer GmbH  ·  Peintner Straße 10, 4060 Leonding, Österreich  ·  Geschäftsführer: Michael Simon (geb. Dirix), MSc.</w:t>
    </w:r>
  </w:p>
  <w:p>
    <w:pPr>
      <w:spacing w:after="0"/>
      <w:jc w:val="center"/>
    </w:pPr>
    <w:r>
      <w:rPr>
        <w:color w:val="7F7F7F"/>
        <w:sz w:val="13"/>
      </w:rPr>
      <w:t>Firmenbuch: Landesgericht Linz, FN 122912d  ·  UID ATU22821702  ·  Tel. +43 732 674 278  ·  support@certoclav.com  ·  www.certoclav.com</w:t>
    </w:r>
  </w:p>
  <w:p>
    <w:pPr>
      <w:spacing w:before="40"/>
      <w:jc w:val="center"/>
    </w:pPr>
    <w:r>
      <w:rPr>
        <w:color w:val="7F7F7F"/>
        <w:sz w:val="14"/>
      </w:rPr>
      <w:t xml:space="preserve">Seite </w:t>
    </w:r>
    <w:fldSimple w:instr="PAGE">
      <w:r>
        <w:t>1</w:t>
      </w:r>
    </w:fldSimple>
    <w:r>
      <w:rPr>
        <w:color w:val="7F7F7F"/>
        <w:sz w:val="14"/>
      </w:rPr>
      <w:t xml:space="preserve"> von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BFBFBF"/>
      </w:pBdr>
    </w:pPr>
    <w:r/>
    <w:r>
      <w:rPr>
        <w:b/>
        <w:color w:val="1F4E79"/>
        <w:sz w:val="16"/>
      </w:rPr>
      <w:t>CERTOCLAV CONSULTING</w:t>
    </w:r>
    <w:r>
      <w:rPr>
        <w:color w:val="7F7F7F"/>
        <w:sz w:val="16"/>
      </w:rPr>
      <w:tab/>
      <w:t>Angebot Odoo-Einführung  ·  Dok.-Nr. ANG-2026-001  ·  Version 1, Stand 01.09.2026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