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Montag, 17.08.2026, 12:30 – 13:30 Uhr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Dauer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60 Minuten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Microsoft Teams (Videokonferenz, via Calendly gebucht)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Betreff der Einladung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Discovery Call biotec GmbH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Simon, michael.simon@certoclav.com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Rückmeldungen (Stand Einladung)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4 Zusagen, 0 vorläufig, 0 Absagen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LAUT EINLADUNG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Teilnehmer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66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E-Mail</w:t>
            </w:r>
          </w:p>
        </w:tc>
        <w:tc>
          <w:tcPr>
            <w:tcW w:type="dxa" w:w="15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Organisation</w:t>
            </w:r>
          </w:p>
        </w:tc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Rolle / Funktion</w:t>
            </w:r>
          </w:p>
        </w:tc>
        <w:tc>
          <w:tcPr>
            <w:tcW w:type="dxa" w:w="164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michael.simon@certoclav.com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Consultant &amp; SPOC, Organisator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Thomas Wilke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twilke@certania.com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/ 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Direktor Food (Certania), CEO biotec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Andreas Bermpohl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abermpohl@t-online.de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 (extern)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Ansprechpartner Richtung biotec, Prokura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Melanie Frank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melanie.frank@biotec-gmbh.com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Promovierte Biologin; koordiniert die Labortätigkeiten und übergeordnete Prozesse; Hygieneinspektion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Brand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michael.brand@biotec-gmbh.com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Projektleiter Hygieneinspektion seit 2020; Organisation der Kunden und Übergabe der Gutachten; Begleiter des ERP-Projekts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Nicole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nicole.krupa@biotec-gmbh.com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seit einem Jahr bei biotec; enger Kontakt zu den Projektleitern; Rechnungen, Schulungen, Werbung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Annette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nicht eingeladen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unbekannt (mw@)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mw@westbomke.com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Westbomke (?)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IT-Administration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Moritz Gruber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mgruber@certania.com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CEO / Managing Shareholder, Initiator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Jonas Leitenmeier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AI-Ops-Lead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Balázs Szaradics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Patrick Gottfried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</w:tbl>
    <w:p>
      <w:pPr>
        <w:spacing w:after="40"/>
      </w:pPr>
      <w:r>
        <w:rPr>
          <w:i/>
          <w:color w:val="7F7F7F"/>
          <w:sz w:val="18"/>
        </w:rPr>
        <w:t>Annette Krupa (Buchhaltung) war nicht eingeladen, ist für das ERP-Projekt aber relevant. Bei Nicole Krupa steht in der Mitschrift „Biotec Stetic“ – Zuordnung zu klären. Anwesenheit im Termin abweichend von der Einladung bitte korrigieren.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before="20" w:after="20"/>
        <w:ind w:left="397"/>
      </w:pPr>
      <w:r>
        <w:t>– biotec besteht aus drei Standorten – Gütersloh als Hauptstandort, München (Hygienekontrollen) und dem Technologiepark Mittweida (Analytik Boden und Wasser). Gesucht wird ein ERP für eine kleine Gesellschaft.</w:t>
      </w:r>
    </w:p>
    <w:p>
      <w:pPr>
        <w:spacing w:before="20" w:after="20"/>
        <w:ind w:left="397"/>
      </w:pPr>
      <w:r>
        <w:t>– Das Altsystem ist eine Delphi-Applikation mit vielen Schnittstellen; die Berichte erzeugt ein separates Gutachtenprogramm, die Ablage läuft über OneDrive.</w:t>
      </w:r>
    </w:p>
    <w:p>
      <w:pPr>
        <w:spacing w:before="20" w:after="20"/>
        <w:ind w:left="397"/>
      </w:pPr>
      <w:r>
        <w:t>– Harte Anforderung: Die Dokumente – insbesondere Gutachten und Berichte – müssen exakt so aussehen wie bisher.</w:t>
      </w:r>
    </w:p>
    <w:p>
      <w:pPr>
        <w:spacing w:before="20" w:after="20"/>
        <w:ind w:left="397"/>
      </w:pPr>
      <w:r>
        <w:t>– Das Deck-Modell Train-the-Trainer wurde abgelehnt. Gewünscht ist eine gründliche Vor-Ort-Schulung am Projektende für drei bis vier namentlich benannte Personen.</w:t>
      </w:r>
    </w:p>
    <w:p>
      <w:pPr>
        <w:spacing w:before="20" w:after="20"/>
        <w:ind w:left="397"/>
      </w:pPr>
      <w:r>
        <w:t>– Zwei Geschäftsbereiche prägen den Scope: der Laborprozess (Probenahme → Bebrütung → Auszählung → Gutachten → Rechnung) und das Schulungsgeschäft (bundesweite VDI-Seminare mit langer Vorplanung).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20" w:after="20"/>
        <w:ind w:left="397"/>
      </w:pPr>
      <w:r>
        <w:t>– Train-the-Trainer wird abgelehnt. Stattdessen: gründliche Schulung am Ende des Projekts, vor Ort beim Kunden.</w:t>
      </w:r>
    </w:p>
    <w:p>
      <w:pPr>
        <w:spacing w:before="20" w:after="20"/>
        <w:ind w:left="397"/>
      </w:pPr>
      <w:r>
        <w:t>– Zu schulen sind Stefan, Michael Brand und Markus sowie eine weitere Person. Die Notizen nennen sowohl „3 Personen“ als auch „4 Leute“ – Anzahl und Namen sind zu bestätigen.</w:t>
      </w:r>
    </w:p>
    <w:p>
      <w:pPr>
        <w:spacing w:before="20" w:after="20"/>
        <w:ind w:left="397"/>
      </w:pPr>
      <w:r>
        <w:t>– Konsequenz für das Scoping: Der Schulungsaufwand liegt bei CertoClav statt beim Hauptansprechpartner. Das Arbeitsmodell aus dem Deck ist an dieser Stelle anzupassen.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Schulungen werden bundesweit beworben; Pflichtschulung für Großkonzerne und Industrieparks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Hygienekontrollen; 3er-Team am Standort München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im Termin nicht vertieft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Durchführung ab mehr als 10 Teilnehmern; Seminarfläche 6 Monate im Voraus gebucht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 / teilweise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Mikrobiologie mit wenigen Analysetechniken (siehe Laborprozess); Forschung nicht besprochen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Hauptstandort – ergänzt: Standorte München und Technologiepark Mittweida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Ein Standort / eine Gesellschaft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Drei Standorte: Gütersloh, München, Technologiepark Mittweida. Gesellschaftsrechtliche Struktur zu klären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2b · Standorte &amp; Struktur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Standort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Team</w:t>
            </w:r>
          </w:p>
        </w:tc>
        <w:tc>
          <w:tcPr>
            <w:tcW w:type="dxa" w:w="532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Gütersloh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Hauptstandort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Labor, Bebrütung &amp; Auszählung, Gutachtenerstellung, Verwaltung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München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2–3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Hygienekontrollen; Büro in einem Privatgebäude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Technologiepark Mittweida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2–3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Analytik von Boden und Wasser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20" w:after="20"/>
        <w:ind w:left="397"/>
      </w:pPr>
      <w:r>
        <w:t>– Die Anlagenliste wird in einer kleinen Zusatzsoftware erstellt und auf Papier ausgedruckt; im Labor wird nach diesem Papierdokument gearbeitet.</w:t>
      </w:r>
    </w:p>
    <w:p>
      <w:pPr>
        <w:spacing w:before="20" w:after="20"/>
        <w:ind w:left="397"/>
      </w:pPr>
      <w:r>
        <w:t>– Ergebnisse (Auszählung, Fotos) werden anschließend manuell zurückgeführt und am Datensatz hinterlegt.</w:t>
      </w: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20" w:after="20"/>
        <w:ind w:left="397"/>
      </w:pPr>
      <w:r>
        <w:t>– Die Dokumente müssen exakt so aussehen wie bisher – Gutachten und Berichte sind gegenüber den Kunden gesetzt.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20" w:after="20"/>
        <w:ind w:left="397"/>
      </w:pPr>
      <w:r>
        <w:t>– Altsystem: Delphi-Applikation mit vielen Schnittstellen.</w:t>
      </w:r>
    </w:p>
    <w:p>
      <w:pPr>
        <w:spacing w:before="20" w:after="20"/>
        <w:ind w:left="397"/>
      </w:pPr>
      <w:r>
        <w:t>– Separates Gutachtenprogramm erzeugt die Berichte.</w:t>
      </w:r>
    </w:p>
    <w:p>
      <w:pPr>
        <w:spacing w:before="20" w:after="20"/>
        <w:ind w:left="397"/>
      </w:pPr>
      <w:r>
        <w:t>– Kleine Zusatzsoftware für die Erstellung der Anlagenliste.</w:t>
      </w:r>
    </w:p>
    <w:p>
      <w:pPr>
        <w:spacing w:before="20" w:after="20"/>
        <w:ind w:left="397"/>
      </w:pPr>
      <w:r>
        <w:t>– Dokumentenablage in OneDrive.</w:t>
      </w:r>
    </w:p>
    <w:p>
      <w:pPr>
        <w:spacing w:before="20" w:after="20"/>
        <w:ind w:left="397"/>
      </w:pPr>
      <w:r>
        <w:t>– Buchhaltungssystem und Kursverwaltung: im Termin nicht erhoben.</w:t>
      </w: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20" w:after="20"/>
        <w:ind w:left="397"/>
      </w:pPr>
      <w:r>
        <w:t>– Auftrag geht ein.</w:t>
      </w:r>
    </w:p>
    <w:p>
      <w:pPr>
        <w:spacing w:before="20" w:after="20"/>
        <w:ind w:left="397"/>
      </w:pPr>
      <w:r>
        <w:t>– Anlagenliste wird in der kleinen Software erstellt und in Papierform ausgedruckt.</w:t>
      </w:r>
    </w:p>
    <w:p>
      <w:pPr>
        <w:spacing w:before="20" w:after="20"/>
        <w:ind w:left="397"/>
      </w:pPr>
      <w:r>
        <w:t>– Im Labor wird gemäß diesem Dokument gearbeitet; Proben werden genommen.</w:t>
      </w:r>
    </w:p>
    <w:p>
      <w:pPr>
        <w:spacing w:before="20" w:after="20"/>
        <w:ind w:left="397"/>
      </w:pPr>
      <w:r>
        <w:t>– Proben werden nach Gütersloh gebracht.</w:t>
      </w:r>
    </w:p>
    <w:p>
      <w:pPr>
        <w:spacing w:before="20" w:after="20"/>
        <w:ind w:left="397"/>
      </w:pPr>
      <w:r>
        <w:t>– Bebrütung; Auszählung nach 3 oder 5 Tagen.</w:t>
      </w:r>
    </w:p>
    <w:p>
      <w:pPr>
        <w:spacing w:before="20" w:after="20"/>
        <w:ind w:left="397"/>
      </w:pPr>
      <w:r>
        <w:t>– Auszählung, Fotos, Bild am Datensatz hinterlegen.</w:t>
      </w:r>
    </w:p>
    <w:p>
      <w:pPr>
        <w:spacing w:before="20" w:after="20"/>
        <w:ind w:left="397"/>
      </w:pPr>
      <w:r>
        <w:t>– Gutachtenprogramm erstellt den Bericht; Ablage in OneDrive.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20" w:after="20"/>
        <w:ind w:left="397"/>
      </w:pPr>
      <w:r>
        <w:t>– Ist das Gutachten fertig, wird eine Info erzeugt und die Rechnung gestellt.</w:t>
      </w: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20" w:after="20"/>
        <w:ind w:left="397"/>
      </w:pPr>
      <w:r>
        <w:t>– Im Termin nicht systematisch erhoben.</w:t>
      </w:r>
    </w:p>
    <w:p>
      <w:pPr>
        <w:spacing w:before="20" w:after="20"/>
        <w:ind w:left="397"/>
      </w:pPr>
      <w:r>
        <w:t>– Anzufordern: Anlagenlisten, Gutachten- und Berichtsvorlagen, Kurskatalog, Artikel- und Kundenstamm aus der Delphi-Applikation.</w:t>
      </w: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20" w:after="20"/>
        <w:ind w:left="397"/>
      </w:pPr>
      <w:r>
        <w:t>– Fotos müssen direkt vor Ort per Smartphone möglich sein – im Einsatz sind Google Pixel 8.</w:t>
      </w:r>
    </w:p>
    <w:p>
      <w:pPr>
        <w:spacing w:before="20" w:after="20"/>
        <w:ind w:left="397"/>
      </w:pPr>
      <w:r>
        <w:t>– Fotos werden am Datensatz bzw. an der Anlage hinterlegt.</w:t>
      </w: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20" w:after="20"/>
        <w:ind w:left="397"/>
      </w:pPr>
      <w:r>
        <w:t>– Ablösekandidaten: Delphi-Applikation, Gutachtenprogramm, Zusatzsoftware für die Anlagenliste.</w:t>
      </w:r>
    </w:p>
    <w:p>
      <w:pPr>
        <w:spacing w:before="20" w:after="20"/>
        <w:ind w:left="397"/>
      </w:pPr>
      <w:r>
        <w:t>– Bindende Randbedingung: Layout der erzeugten Dokumente bleibt unverändert.</w:t>
      </w:r>
    </w:p>
    <w:p>
      <w:pPr>
        <w:spacing w:before="20" w:after="20"/>
        <w:ind w:left="397"/>
      </w:pPr>
      <w:r>
        <w:t>– Offen: Welche Schnittstellen die Delphi-Applikation bedient und ob OneDrive als Ablage bestehen bleibt.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4b · Laborprozess &amp; Mengen</w:t>
      </w:r>
    </w:p>
    <w:p>
      <w:pPr>
        <w:spacing w:before="160" w:after="0"/>
      </w:pPr>
      <w:r>
        <w:rPr>
          <w:b/>
        </w:rPr>
        <w:t>Analytik</w:t>
      </w:r>
    </w:p>
    <w:p>
      <w:pPr>
        <w:spacing w:before="20" w:after="20"/>
        <w:ind w:left="397"/>
      </w:pPr>
      <w:r>
        <w:t>– Proben kommen ins Labor und werden mikrobiologisch aufbereitet.</w:t>
      </w:r>
    </w:p>
    <w:p>
      <w:pPr>
        <w:spacing w:before="20" w:after="20"/>
        <w:ind w:left="397"/>
      </w:pPr>
      <w:r>
        <w:t>– Bestimmt wird die Keimzahl auf zwei Medien: Gesamtkeimzahl und Pilze.</w:t>
      </w:r>
    </w:p>
    <w:p>
      <w:pPr>
        <w:spacing w:before="20" w:after="20"/>
        <w:ind w:left="397"/>
      </w:pPr>
      <w:r>
        <w:t>– Keine große Bandbreite unterschiedlicher Analysetechniken.</w:t>
      </w:r>
    </w:p>
    <w:p>
      <w:pPr>
        <w:spacing w:before="160" w:after="0"/>
      </w:pPr>
      <w:r>
        <w:rPr>
          <w:b/>
        </w:rPr>
        <w:t>Bebrütung &amp; Entsorgung</w:t>
      </w:r>
    </w:p>
    <w:p>
      <w:pPr>
        <w:spacing w:before="20" w:after="20"/>
        <w:ind w:left="397"/>
      </w:pPr>
      <w:r>
        <w:t>– Proben liegen im Brutschrank und werden nach 3 oder 5 Tagen ausgezählt.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160" w:after="0"/>
      </w:pPr>
      <w:r>
        <w:rPr>
          <w:b/>
        </w:rPr>
        <w:t>Mengengerüst</w:t>
      </w:r>
    </w:p>
    <w:p>
      <w:pPr>
        <w:spacing w:before="20" w:after="20"/>
        <w:ind w:left="397"/>
      </w:pPr>
      <w:r>
        <w:t>– Bei voller Auslastung 100 Anlagen pro Woche.</w:t>
      </w:r>
    </w:p>
    <w:p>
      <w:pPr>
        <w:spacing w:before="20" w:after="20"/>
        <w:ind w:left="397"/>
      </w:pPr>
      <w:r>
        <w:t>– 8–9 Platten je Anlage.</w:t>
      </w:r>
    </w:p>
    <w:p>
      <w:pPr>
        <w:spacing w:before="20" w:after="20"/>
        <w:ind w:left="397"/>
      </w:pPr>
      <w:r>
        <w:t>– Ergibt rund 800–900 Platten pro Woche. Im Termin wurde „9.000“ notiert – die Zahl ist zu verifizieren (Woche, Monat oder Jahr?).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4c · Schulungsgeschäft</w:t>
      </w:r>
    </w:p>
    <w:p>
      <w:pPr>
        <w:spacing w:before="20" w:after="20"/>
        <w:ind w:left="397"/>
      </w:pPr>
      <w:r>
        <w:t>– Schulungen werden bundesweit beworben.</w:t>
      </w:r>
    </w:p>
    <w:p>
      <w:pPr>
        <w:spacing w:before="20" w:after="20"/>
        <w:ind w:left="397"/>
      </w:pPr>
      <w:r>
        <w:t>– Eine Schulung findet statt, wenn mehr als 10 Teilnehmer zusammenkommen.</w:t>
      </w:r>
    </w:p>
    <w:p>
      <w:pPr>
        <w:spacing w:before="20" w:after="20"/>
        <w:ind w:left="397"/>
      </w:pPr>
      <w:r>
        <w:t>– Zielgruppe: Großkonzerne und Industrieparks – für diese ist es eine Pflichtschulung.</w:t>
      </w:r>
    </w:p>
    <w:p>
      <w:pPr>
        <w:spacing w:before="20" w:after="20"/>
        <w:ind w:left="397"/>
      </w:pPr>
      <w:r>
        <w:t>– VDI-Schulungen werden lange vorgeplant; die Seminarfläche wird 6 Monate im Voraus gebucht.</w:t>
      </w:r>
    </w:p>
    <w:p>
      <w:pPr>
        <w:spacing w:before="20" w:after="20"/>
        <w:ind w:left="397"/>
      </w:pPr>
      <w:r>
        <w:t>– Inhouse-Schulungen beim Kunden gehören ebenfalls zum Angebot.</w:t>
      </w:r>
    </w:p>
    <w:p>
      <w:pPr>
        <w:spacing w:before="20" w:after="20"/>
        <w:ind w:left="397"/>
      </w:pPr>
      <w:r>
        <w:t>– Dozenten: 3 intern und 2 extern, insgesamt 5. Ein zweites Team soll aufgebaut werden.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4d · Produktion, Handelsware &amp; Lager</w:t>
      </w:r>
    </w:p>
    <w:p>
      <w:pPr>
        <w:spacing w:before="20" w:after="20"/>
        <w:ind w:left="397"/>
      </w:pPr>
      <w:r>
        <w:t>– In der biotec wird nur minimal produziert – einige Chemikalien.</w:t>
      </w:r>
    </w:p>
    <w:p>
      <w:pPr>
        <w:spacing w:before="20" w:after="20"/>
        <w:ind w:left="397"/>
      </w:pPr>
      <w:r>
        <w:t>– Händlerprodukte: 5–6 Artikel.</w:t>
      </w:r>
    </w:p>
    <w:p>
      <w:pPr>
        <w:spacing w:before="20" w:after="20"/>
        <w:ind w:left="397"/>
      </w:pPr>
      <w:r>
        <w:t>– Lager: 2–3 Brutreaktoren (Begriff zu prüfen), Greiner-Röhrchen mit Chemikalien.</w:t>
      </w:r>
    </w:p>
    <w:p>
      <w:pPr>
        <w:spacing w:before="20" w:after="20"/>
        <w:ind w:left="397"/>
      </w:pPr>
      <w:r>
        <w:t>– Verbrauchsmaterial auf Lager: Gelatinefilter im Wert von rund 15.000 €.</w:t>
      </w: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Auftragseingang startet den Laborprozess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 nach Fertigstellung des Gutachtens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Gelatinefilter ca. 15 T€, Greiner-Röhrchen, 5–6 Händlerprodukte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Hygienekontrollen vor Ort; Fotos per Pixel 8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im Termin nicht vertieft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Mindestteilnehmerzahl 10; Vorplanung 6 Monate; 5 Dozenten; Inhouse-Schulungen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Intervalle nicht besprochen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Platten, Fotos, Gutachten; Dokumentenlayout ist bindend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heutiges Buchhaltungssystem nicht erhoben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ja, minimal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geringe Eigenproduktion einiger Chemikalien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Kurse werden bundesweit beworben – Buchungsweg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Mehrgesellschaft / Multi-Company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zwei Standorte abbilden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Gütersloh und München; Struktur und Konsolidierung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Labor-/LIMS-Funktionen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Ersatz für das Gutachtenprogramm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zu prüfen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Auszählung, Fotodokumentation, Berichtserzeugung mit festem Layout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20" w:after="20"/>
        <w:ind w:left="397"/>
      </w:pPr>
      <w:r>
        <w:t>– Nicht formell benannt. Nach Rollenlage ist Michael Brand der naheliegende Kandidat: Projektleiter Hygieneinspektion und ausdrücklich „Begleiter des ERP-Systems“.</w:t>
      </w:r>
    </w:p>
    <w:p>
      <w:pPr>
        <w:spacing w:before="20" w:after="20"/>
        <w:ind w:left="397"/>
      </w:pPr>
      <w:r>
        <w:t>– Namentlich für die Vor-Ort-Schulung vorgesehen: Stefan, Michael Brand, Markus (+ eine weitere Person).</w:t>
      </w:r>
    </w:p>
    <w:p>
      <w:pPr>
        <w:spacing w:before="20" w:after="20"/>
        <w:ind w:left="397"/>
      </w:pPr>
      <w:r>
        <w:t>– Fachliche Breite für die Validierung: Melanie Frank (Labor und übergeordnete Prozesse), Nicole Krupa (Rechnungen, Schulungen, Werbung), Annette Krupa (Buchhaltung), mw@westbomke.com (IT-Administration).</w:t>
      </w: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20" w:after="20"/>
        <w:ind w:left="397"/>
      </w:pPr>
      <w:r>
        <w:t>– Grobe Einordnung aus dem Termin: „ERP für eine kleine Gesellschaft“.</w:t>
      </w:r>
    </w:p>
    <w:p>
      <w:pPr>
        <w:spacing w:before="20" w:after="20"/>
        <w:ind w:left="397"/>
      </w:pPr>
      <w:r>
        <w:t>– Bekannte Teams: München 2–3 Personen (Hygienekontrollen), Mittweida 2–3 Personen (Analytik Boden/Wasser), Dozenten 5 (3 intern, 2 extern), Gütersloh mit Labor und Verwaltung.</w:t>
      </w:r>
    </w:p>
    <w:p>
      <w:pPr>
        <w:spacing w:before="20" w:after="20"/>
        <w:ind w:left="397"/>
      </w:pPr>
      <w:r>
        <w:t>– Gesamtzahl der Odoo-Nutzer noch zu erheben.</w:t>
      </w: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Protokoll &amp; Zusammenfassung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Rohdaten bereitstellen: Anlagenlisten, Kunden-/Artikelstamm, Kurskatalog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Gutachten- und Berichtsvorlagen als Muster bereitstellen (Layout ist bindend)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Delphi-Applikation: Exportmöglichkeiten und Schnittstellen dokumentieren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 / 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Anzahl und Namen der vor Ort zu schulenden Personen bestätigen (3 oder 4)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Hauptansprechpartner für die Iterationen benennen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Scoping &amp; Angebot – inkl. Vor-Ort-Schulung statt Train-the-Trainer, Multi-Company und Layouttreue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Klären, ob die Certania-Anforderungen (P2P/O2C, POC/WIP) zum Scope gehören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 / Certania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Anzahl der vor Ort zu schulenden Personen: 3 oder 4? Vierter Name fehlt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Plattenmenge: rund 900 oder 9.000 – und je Woche, Monat oder Jahr?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biotec Süd: welchem der drei Standorte entspricht der Name?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Nachnamen und Funktionen von „Stefan“ und „Markus“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Sind die drei Standorte eigene Gesellschaften oder Betriebsstätten? Konsolidierungsbedarf?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Welche Schnittstellen bedient die Delphi-Applikation heute?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Bleibt OneDrive die Dokumentenablage oder übernimmt Odoo Dokumente?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gemeinsam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Heutiges Buchhaltungssystem und DATEV-Anbindung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Michael Brand formell als Hauptansprechpartner bestätigen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Nicole Krupa: „Biotec Stetic“ – welche Einheit ist gemeint?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Westbomke: externer IT-Dienstleister oder eigene Abteilung? Rolle im Projekt (Zugänge, Schnittstellen, Delphi-Betreuung)?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20" w:after="20"/>
        <w:ind w:left="397"/>
      </w:pPr>
      <w:r>
        <w:t>– Aufwandstreiber: (1) Layouttreue der Gutachten – Berichtsentwicklung in Odoo statt Standardvorlagen, (2) Ablösung der Delphi-Applikation samt unbekannter Schnittstellen, (3) Multi-Company für zwei Standorte, (4) Vor-Ort-Schulung von 3–4 Personen zusätzlich zum Einrichtungsaufwand.</w:t>
      </w:r>
    </w:p>
    <w:p>
      <w:pPr>
        <w:spacing w:before="20" w:after="20"/>
        <w:ind w:left="397"/>
      </w:pPr>
      <w:r>
        <w:t>– Der Wegfall von Train-the-Trainer verschiebt Aufwand vom Kunden zu CertoClav – die Erzählung „Umstellung in einer Woche“ ist damit nicht haltbar und sollte im Angebot nicht wiederholt werden.</w:t>
      </w:r>
    </w:p>
    <w:p>
      <w:pPr>
        <w:spacing w:before="20" w:after="20"/>
        <w:ind w:left="397"/>
      </w:pPr>
      <w:r>
        <w:t>– Der Laborprozess ist der eigentliche Kern: Anlagenliste, Probenverfolgung, Auszählung mit Fotodokumentation, Berichtserzeugung. Vor dem Angebot prüfen, wie weit Odoo Qualität/Dokumente das ohne Eigenentwicklung tragen.</w:t>
      </w:r>
    </w:p>
    <w:p>
      <w:pPr>
        <w:spacing w:before="20" w:after="20"/>
        <w:ind w:left="397"/>
      </w:pPr>
      <w:r>
        <w:t>– Das Schulungsgeschäft mit Mindestteilnehmerzahl und 6 Monaten Vorlauf ist ein guter Quick-Win-Kandidat (Odoo Veranstaltungen) und liefert früh sichtbaren Nutzen.</w:t>
      </w:r>
    </w:p>
    <w:p>
      <w:pPr>
        <w:spacing w:before="20" w:after="20"/>
        <w:ind w:left="397"/>
      </w:pPr>
      <w:r>
        <w:t>– Entscheiderlage: Dr. Thomas Wilke ist CEO biotec und gleichzeitig Direktor Food bei Certania – die Freigabe läuft über ihn, nicht über Dr. Bermpohl (Prokura). Moritz Gruber bleibt Initiator auf Gesellschafterebene.</w:t>
      </w:r>
    </w:p>
    <w:p>
      <w:pPr>
        <w:spacing w:before="20" w:after="20"/>
        <w:ind w:left="397"/>
      </w:pPr>
      <w:r>
        <w:t>– Westbomke betreut die IT-Administration. Für die Ablösung der Delphi-Applikation und die Schnittstellen ist das die entscheidende technische Gegenstelle – früh einbinden, statt erst in der Umsetzungsphase.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