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4E79"/>
          <w:sz w:val="44"/>
        </w:rPr>
        <w:t>Discovery Call – Zusammenfassung</w:t>
      </w:r>
    </w:p>
    <w:p>
      <w:pPr>
        <w:spacing w:after="280"/>
      </w:pPr>
      <w:r>
        <w:rPr>
          <w:color w:val="7F7F7F"/>
          <w:sz w:val="22"/>
        </w:rPr>
        <w:t>Odoo für die biotec GmbH  ·  17. August 2026</w:t>
      </w:r>
    </w:p>
    <w:tbl>
      <w:tblPr>
        <w:tblStyle w:val="TableGrid"/>
        <w:tblW w:type="auto" w:w="0"/>
        <w:jc w:val="left"/>
        <w:tblLook w:firstColumn="1" w:firstRow="1" w:lastColumn="0" w:lastRow="0" w:noHBand="0" w:noVBand="1" w:val="04A0"/>
      </w:tblPr>
      <w:tblGrid>
        <w:gridCol w:w="4819"/>
        <w:gridCol w:w="4819"/>
      </w:tblGrid>
      <w:tr>
        <w:tc>
          <w:tcPr>
            <w:tcW w:type="dxa" w:w="2381"/>
            <w:shd w:val="clear" w:fill="1F4E79"/>
          </w:tcPr>
          <w:p>
            <w:pPr>
              <w:spacing w:after="0"/>
            </w:pPr>
            <w:r>
              <w:rPr>
                <w:b/>
                <w:color w:val="FFFFFF"/>
                <w:sz w:val="19"/>
              </w:rPr>
              <w:t>Feld</w:t>
            </w:r>
          </w:p>
        </w:tc>
        <w:tc>
          <w:tcPr>
            <w:tcW w:type="dxa" w:w="7257"/>
            <w:shd w:val="clear" w:fill="1F4E79"/>
          </w:tcPr>
          <w:p>
            <w:pPr>
              <w:spacing w:after="0"/>
            </w:pPr>
            <w:r>
              <w:rPr>
                <w:b/>
                <w:color w:val="FFFFFF"/>
                <w:sz w:val="19"/>
              </w:rPr>
              <w:t>Eintrag</w:t>
            </w:r>
          </w:p>
        </w:tc>
      </w:tr>
      <w:tr>
        <w:tc>
          <w:tcPr>
            <w:tcW w:type="dxa" w:w="2381"/>
          </w:tcPr>
          <w:p>
            <w:pPr>
              <w:spacing w:after="0"/>
            </w:pPr>
            <w:r>
              <w:rPr>
                <w:sz w:val="19"/>
              </w:rPr>
              <w:t>Termin</w:t>
            </w:r>
          </w:p>
        </w:tc>
        <w:tc>
          <w:tcPr>
            <w:tcW w:type="dxa" w:w="7257"/>
          </w:tcPr>
          <w:p>
            <w:pPr>
              <w:spacing w:after="0"/>
            </w:pPr>
            <w:r>
              <w:rPr>
                <w:sz w:val="19"/>
              </w:rPr>
              <w:t>Montag, 17.08.2026, 12:30 – 13:30 Uhr, Microsoft Teams</w:t>
            </w:r>
          </w:p>
        </w:tc>
      </w:tr>
      <w:tr>
        <w:tc>
          <w:tcPr>
            <w:tcW w:type="dxa" w:w="2381"/>
          </w:tcPr>
          <w:p>
            <w:pPr>
              <w:spacing w:after="0"/>
            </w:pPr>
            <w:r>
              <w:rPr>
                <w:sz w:val="19"/>
              </w:rPr>
              <w:t>biotec GmbH</w:t>
            </w:r>
          </w:p>
        </w:tc>
        <w:tc>
          <w:tcPr>
            <w:tcW w:type="dxa" w:w="7257"/>
          </w:tcPr>
          <w:p>
            <w:pPr>
              <w:spacing w:after="0"/>
            </w:pPr>
            <w:r>
              <w:rPr>
                <w:sz w:val="19"/>
              </w:rPr>
              <w:t>Elbrachtsweg 76, 33332 Gütersloh · +49 5241 307200 · info@biotec-gmbh.com</w:t>
            </w:r>
          </w:p>
        </w:tc>
      </w:tr>
      <w:tr>
        <w:tc>
          <w:tcPr>
            <w:tcW w:type="dxa" w:w="2381"/>
          </w:tcPr>
          <w:p>
            <w:pPr>
              <w:spacing w:after="0"/>
            </w:pPr>
            <w:r>
              <w:rPr>
                <w:sz w:val="19"/>
              </w:rPr>
              <w:t>Teilnehmer biotec</w:t>
            </w:r>
          </w:p>
        </w:tc>
        <w:tc>
          <w:tcPr>
            <w:tcW w:type="dxa" w:w="7257"/>
          </w:tcPr>
          <w:p>
            <w:pPr>
              <w:spacing w:after="0"/>
            </w:pPr>
            <w:r>
              <w:rPr>
                <w:sz w:val="19"/>
              </w:rPr>
              <w:t>Melanie Frank, Michael Brand, Nicole Krupa, Dr. Andreas Bermpohl, Dr. Thomas Wilke, IT-Administration</w:t>
            </w:r>
          </w:p>
        </w:tc>
      </w:tr>
      <w:tr>
        <w:tc>
          <w:tcPr>
            <w:tcW w:type="dxa" w:w="2381"/>
          </w:tcPr>
          <w:p>
            <w:pPr>
              <w:spacing w:after="0"/>
            </w:pPr>
            <w:r>
              <w:rPr>
                <w:sz w:val="19"/>
              </w:rPr>
              <w:t>Teilnehmer Certania</w:t>
            </w:r>
          </w:p>
        </w:tc>
        <w:tc>
          <w:tcPr>
            <w:tcW w:type="dxa" w:w="7257"/>
          </w:tcPr>
          <w:p>
            <w:pPr>
              <w:spacing w:after="0"/>
            </w:pPr>
            <w:r>
              <w:rPr>
                <w:sz w:val="19"/>
              </w:rPr>
              <w:t>Moritz Gruber</w:t>
            </w:r>
          </w:p>
        </w:tc>
      </w:tr>
      <w:tr>
        <w:tc>
          <w:tcPr>
            <w:tcW w:type="dxa" w:w="2381"/>
          </w:tcPr>
          <w:p>
            <w:pPr>
              <w:spacing w:after="0"/>
            </w:pPr>
            <w:r>
              <w:rPr>
                <w:sz w:val="19"/>
              </w:rPr>
              <w:t>Teilnehmer CertoClav</w:t>
            </w:r>
          </w:p>
        </w:tc>
        <w:tc>
          <w:tcPr>
            <w:tcW w:type="dxa" w:w="7257"/>
          </w:tcPr>
          <w:p>
            <w:pPr>
              <w:spacing w:after="0"/>
            </w:pPr>
            <w:r>
              <w:rPr>
                <w:sz w:val="19"/>
              </w:rPr>
              <w:t>Michael Simon (Consultant &amp; SPOC), Jonas Leitenmeier, Balázs Szaradics, Patrick Gottfried</w:t>
            </w:r>
          </w:p>
        </w:tc>
      </w:tr>
      <w:tr>
        <w:tc>
          <w:tcPr>
            <w:tcW w:type="dxa" w:w="2381"/>
          </w:tcPr>
          <w:p>
            <w:pPr>
              <w:spacing w:after="0"/>
            </w:pPr>
            <w:r>
              <w:rPr>
                <w:sz w:val="19"/>
              </w:rPr>
              <w:t>Protokoll</w:t>
            </w:r>
          </w:p>
        </w:tc>
        <w:tc>
          <w:tcPr>
            <w:tcW w:type="dxa" w:w="7257"/>
          </w:tcPr>
          <w:p>
            <w:pPr>
              <w:spacing w:after="0"/>
            </w:pPr>
            <w:r>
              <w:rPr>
                <w:sz w:val="19"/>
              </w:rPr>
              <w:t>Michael Simon</w:t>
            </w:r>
          </w:p>
        </w:tc>
      </w:tr>
    </w:tbl>
    <w:p>
      <w:pPr>
        <w:spacing w:before="280" w:after="120"/>
        <w:pBdr>
          <w:bottom w:val="single" w:sz="8" w:space="2" w:color="1F4E79"/>
        </w:pBdr>
      </w:pPr>
      <w:r>
        <w:rPr>
          <w:b/>
          <w:color w:val="1F4E79"/>
          <w:sz w:val="26"/>
        </w:rPr>
        <w:t>Zweck des Termins</w:t>
      </w:r>
    </w:p>
    <w:p>
      <w:pPr>
        <w:spacing w:after="160"/>
      </w:pPr>
      <w:r>
        <w:rPr>
          <w:i w:val="0"/>
          <w:sz w:val="21"/>
        </w:rPr>
        <w:t>Ziel war ein erster Überblick: Wie arbeitet biotec heute, welche Systeme sind im Einsatz, und wo kann Odoo helfen. Der Termin war ausdrücklich keine Detailerhebung – er sollte klären, ob und wie eine Zusammenarbeit sinnvoll ist.</w:t>
      </w:r>
    </w:p>
    <w:p>
      <w:pPr>
        <w:spacing w:before="280" w:after="0"/>
      </w:pPr>
      <w:r>
        <w:rPr>
          <w:rFonts w:ascii="Calibri" w:hAnsi="Calibri"/>
          <w:b/>
          <w:color w:val="7F7F7F"/>
          <w:sz w:val="15"/>
        </w:rPr>
        <w:t>GROBER ÜBERBLICK</w:t>
      </w:r>
    </w:p>
    <w:p>
      <w:pPr>
        <w:spacing w:before="40" w:after="120"/>
        <w:pBdr>
          <w:bottom w:val="single" w:sz="8" w:space="2" w:color="1F4E79"/>
        </w:pBdr>
      </w:pPr>
      <w:r>
        <w:rPr>
          <w:b/>
          <w:color w:val="1F4E79"/>
          <w:sz w:val="26"/>
        </w:rPr>
        <w:t>Was wir verstanden haben</w:t>
      </w:r>
    </w:p>
    <w:p>
      <w:pPr>
        <w:spacing w:after="40"/>
      </w:pPr>
      <w:r>
        <w:rPr>
          <w:i/>
          <w:color w:val="7F7F7F"/>
          <w:sz w:val="18"/>
        </w:rPr>
        <w:t>Bewusst auf hoher Ebene. Die belastbaren Details ergeben sich aus den Unterlagen, die uns biotec bereitstellt.</w:t>
      </w:r>
    </w:p>
    <w:p>
      <w:pPr>
        <w:spacing w:before="20" w:after="20"/>
        <w:ind w:left="397"/>
      </w:pPr>
      <w:r>
        <w:t>– biotec arbeitet von drei Standorten aus: Gütersloh als Hauptstandort mit Labor und Verwaltung, München mit einem kleinen Team für Hygienekontrollen und der Technologiepark Mittweida mit der Analytik von Boden und Wasser.</w:t>
      </w:r>
    </w:p>
    <w:p>
      <w:pPr>
        <w:spacing w:before="20" w:after="20"/>
        <w:ind w:left="397"/>
      </w:pPr>
      <w:r>
        <w:t>– Der Kernprozess führt vom Auftrag über die Anlagenliste und die Probenahme vor Ort ins Labor, von dort über Bebrütung und Auszählung zum Gutachten und zur Rechnung.</w:t>
      </w:r>
    </w:p>
    <w:p>
      <w:pPr>
        <w:spacing w:before="20" w:after="20"/>
        <w:ind w:left="397"/>
      </w:pPr>
      <w:r>
        <w:t>– Ein zweiter Geschäftsbereich sind die bundesweiten VDI-Schulungen mit langer Vorplanung, Mindestteilnehmerzahl und internen sowie externen Dozenten.</w:t>
      </w:r>
    </w:p>
    <w:p>
      <w:pPr>
        <w:spacing w:before="20" w:after="20"/>
        <w:ind w:left="397"/>
      </w:pPr>
      <w:r>
        <w:t>– Heute im Einsatz: eine eigenentwickelte Anwendung mit mehreren Schnittstellen, ein separates Programm für die Gutachtenerstellung und OneDrive für die Ablage.</w:t>
      </w:r>
    </w:p>
    <w:p>
      <w:pPr>
        <w:spacing w:before="20" w:after="20"/>
        <w:ind w:left="397"/>
      </w:pPr>
      <w:r>
        <w:t>– Die Prüfer dokumentieren vor Ort mit dem Smartphone; Fotos gehören an den jeweiligen Datensatz.</w:t>
      </w:r>
    </w:p>
    <w:p>
      <w:pPr>
        <w:spacing w:before="20" w:after="20"/>
        <w:ind w:left="397"/>
      </w:pPr>
      <w:r>
        <w:t>– Lagerhaltung und Eigenproduktion sind überschaubar – Verbrauchsmaterial, einige Handelsartikel und wenige selbst hergestellte Chemikalien.</w:t>
      </w:r>
    </w:p>
    <w:p>
      <w:pPr>
        <w:spacing w:before="280" w:after="0"/>
      </w:pPr>
      <w:r>
        <w:rPr>
          <w:rFonts w:ascii="Calibri" w:hAnsi="Calibri"/>
          <w:b/>
          <w:color w:val="7F7F7F"/>
          <w:sz w:val="15"/>
        </w:rPr>
        <w:t>WICHTIG FÜR DIE UMSETZUNG</w:t>
      </w:r>
    </w:p>
    <w:p>
      <w:pPr>
        <w:spacing w:before="40" w:after="120"/>
        <w:pBdr>
          <w:bottom w:val="single" w:sz="8" w:space="2" w:color="1F4E79"/>
        </w:pBdr>
      </w:pPr>
      <w:r>
        <w:rPr>
          <w:b/>
          <w:color w:val="1F4E79"/>
          <w:sz w:val="26"/>
        </w:rPr>
        <w:t>Zwei Punkte, die wir festgehalten haben</w:t>
      </w:r>
    </w:p>
    <w:p>
      <w:pPr>
        <w:spacing w:before="20" w:after="20"/>
        <w:ind w:left="397"/>
      </w:pPr>
      <w:r>
        <w:t>– Die Dokumente – insbesondere Gutachten und Berichte – sollen für Ihre Kunden unverändert aussehen. Wir planen die Berichtsgestaltung entsprechend ein.</w:t>
      </w:r>
    </w:p>
    <w:p>
      <w:pPr>
        <w:spacing w:before="20" w:after="20"/>
        <w:ind w:left="397"/>
      </w:pPr>
      <w:r>
        <w:t>– Geschult wird am Ende des Projekts vor Ort bei Ihnen, gründlich und für einen festen Personenkreis. Eine reine Multiplikatoren-Schulung ist nicht gewünscht.</w:t>
      </w:r>
    </w:p>
    <w:p>
      <w:pPr>
        <w:spacing w:before="280" w:after="120"/>
        <w:pBdr>
          <w:bottom w:val="single" w:sz="8" w:space="2" w:color="1F4E79"/>
        </w:pBdr>
      </w:pPr>
      <w:r>
        <w:rPr>
          <w:b/>
          <w:color w:val="1F4E79"/>
          <w:sz w:val="26"/>
        </w:rPr>
        <w:t>Ansprechpartner</w:t>
      </w:r>
    </w:p>
    <w:tbl>
      <w:tblPr>
        <w:tblStyle w:val="TableGrid"/>
        <w:tblW w:type="auto" w:w="0"/>
        <w:jc w:val="left"/>
        <w:tblLook w:firstColumn="1" w:firstRow="1" w:lastColumn="0" w:lastRow="0" w:noHBand="0" w:noVBand="1" w:val="04A0"/>
      </w:tblPr>
      <w:tblGrid>
        <w:gridCol w:w="3213"/>
        <w:gridCol w:w="3213"/>
        <w:gridCol w:w="3213"/>
      </w:tblGrid>
      <w:tr>
        <w:tc>
          <w:tcPr>
            <w:tcW w:type="dxa" w:w="2041"/>
            <w:shd w:val="clear" w:fill="1F4E79"/>
          </w:tcPr>
          <w:p>
            <w:pPr>
              <w:spacing w:after="0"/>
            </w:pPr>
            <w:r>
              <w:rPr>
                <w:b/>
                <w:color w:val="FFFFFF"/>
                <w:sz w:val="19"/>
              </w:rPr>
              <w:t>Name</w:t>
            </w:r>
          </w:p>
        </w:tc>
        <w:tc>
          <w:tcPr>
            <w:tcW w:type="dxa" w:w="3061"/>
            <w:shd w:val="clear" w:fill="1F4E79"/>
          </w:tcPr>
          <w:p>
            <w:pPr>
              <w:spacing w:after="0"/>
            </w:pPr>
            <w:r>
              <w:rPr>
                <w:b/>
                <w:color w:val="FFFFFF"/>
                <w:sz w:val="19"/>
              </w:rPr>
              <w:t>E-Mail</w:t>
            </w:r>
          </w:p>
        </w:tc>
        <w:tc>
          <w:tcPr>
            <w:tcW w:type="dxa" w:w="4535"/>
            <w:shd w:val="clear" w:fill="1F4E79"/>
          </w:tcPr>
          <w:p>
            <w:pPr>
              <w:spacing w:after="0"/>
            </w:pPr>
            <w:r>
              <w:rPr>
                <w:b/>
                <w:color w:val="FFFFFF"/>
                <w:sz w:val="19"/>
              </w:rPr>
              <w:t>Themen</w:t>
            </w:r>
          </w:p>
        </w:tc>
      </w:tr>
      <w:tr>
        <w:tc>
          <w:tcPr>
            <w:tcW w:type="dxa" w:w="2041"/>
          </w:tcPr>
          <w:p>
            <w:pPr>
              <w:spacing w:after="0"/>
            </w:pPr>
            <w:r>
              <w:rPr>
                <w:sz w:val="19"/>
              </w:rPr>
              <w:t>Michael Brand</w:t>
            </w:r>
          </w:p>
        </w:tc>
        <w:tc>
          <w:tcPr>
            <w:tcW w:type="dxa" w:w="3061"/>
          </w:tcPr>
          <w:p>
            <w:pPr>
              <w:spacing w:after="0"/>
            </w:pPr>
            <w:r>
              <w:rPr>
                <w:sz w:val="19"/>
              </w:rPr>
              <w:t>michael.brand@biotec-gmbh.com</w:t>
            </w:r>
          </w:p>
        </w:tc>
        <w:tc>
          <w:tcPr>
            <w:tcW w:type="dxa" w:w="4535"/>
          </w:tcPr>
          <w:p>
            <w:pPr>
              <w:spacing w:after="0"/>
            </w:pPr>
            <w:r>
              <w:rPr>
                <w:sz w:val="19"/>
              </w:rPr>
              <w:t>Fachlich und technisch: Anlagen, Laborprozess, Gutachten, Verträge, Altsystem</w:t>
            </w:r>
          </w:p>
        </w:tc>
      </w:tr>
      <w:tr>
        <w:tc>
          <w:tcPr>
            <w:tcW w:type="dxa" w:w="2041"/>
          </w:tcPr>
          <w:p>
            <w:pPr>
              <w:spacing w:after="0"/>
            </w:pPr>
            <w:r>
              <w:rPr>
                <w:sz w:val="19"/>
              </w:rPr>
              <w:t>Nicole Krupa</w:t>
            </w:r>
          </w:p>
        </w:tc>
        <w:tc>
          <w:tcPr>
            <w:tcW w:type="dxa" w:w="3061"/>
          </w:tcPr>
          <w:p>
            <w:pPr>
              <w:spacing w:after="0"/>
            </w:pPr>
            <w:r>
              <w:rPr>
                <w:sz w:val="19"/>
              </w:rPr>
              <w:t>nicole.krupa@biotec-gmbh.com</w:t>
            </w:r>
          </w:p>
        </w:tc>
        <w:tc>
          <w:tcPr>
            <w:tcW w:type="dxa" w:w="4535"/>
          </w:tcPr>
          <w:p>
            <w:pPr>
              <w:spacing w:after="0"/>
            </w:pPr>
            <w:r>
              <w:rPr>
                <w:sz w:val="19"/>
              </w:rPr>
              <w:t>Kaufmännisch und organisatorisch: Kunden, Belege, Preise, Schulungen, Layout</w:t>
            </w:r>
          </w:p>
        </w:tc>
      </w:tr>
      <w:tr>
        <w:tc>
          <w:tcPr>
            <w:tcW w:type="dxa" w:w="2041"/>
          </w:tcPr>
          <w:p>
            <w:pPr>
              <w:spacing w:after="0"/>
            </w:pPr>
            <w:r>
              <w:rPr>
                <w:sz w:val="19"/>
              </w:rPr>
              <w:t>Michael Simon</w:t>
            </w:r>
          </w:p>
        </w:tc>
        <w:tc>
          <w:tcPr>
            <w:tcW w:type="dxa" w:w="3061"/>
          </w:tcPr>
          <w:p>
            <w:pPr>
              <w:spacing w:after="0"/>
            </w:pPr>
            <w:r>
              <w:rPr>
                <w:sz w:val="19"/>
              </w:rPr>
              <w:t>michael.simon@certoclav.com</w:t>
            </w:r>
          </w:p>
        </w:tc>
        <w:tc>
          <w:tcPr>
            <w:tcW w:type="dxa" w:w="4535"/>
          </w:tcPr>
          <w:p>
            <w:pPr>
              <w:spacing w:after="0"/>
            </w:pPr>
            <w:r>
              <w:rPr>
                <w:sz w:val="19"/>
              </w:rPr>
              <w:t>CertoClav: Beratung, Einrichtung, Projektsteuerung</w:t>
            </w:r>
          </w:p>
        </w:tc>
      </w:tr>
    </w:tbl>
    <w:p>
      <w:r>
        <w:br w:type="page"/>
      </w:r>
    </w:p>
    <w:p>
      <w:pPr>
        <w:spacing w:before="280" w:after="0"/>
      </w:pPr>
      <w:r>
        <w:rPr>
          <w:rFonts w:ascii="Calibri" w:hAnsi="Calibri"/>
          <w:b/>
          <w:color w:val="7F7F7F"/>
          <w:sz w:val="15"/>
        </w:rPr>
        <w:t>HERZSTÜCK DER NACHARBEIT</w:t>
      </w:r>
    </w:p>
    <w:p>
      <w:pPr>
        <w:spacing w:before="40" w:after="120"/>
        <w:pBdr>
          <w:bottom w:val="single" w:sz="8" w:space="2" w:color="1F4E79"/>
        </w:pBdr>
      </w:pPr>
      <w:r>
        <w:rPr>
          <w:b/>
          <w:color w:val="1F4E79"/>
          <w:sz w:val="26"/>
        </w:rPr>
        <w:t>Der nächste Schritt: Datenanforderung</w:t>
      </w:r>
    </w:p>
    <w:p>
      <w:pPr>
        <w:spacing w:after="160"/>
      </w:pPr>
      <w:r>
        <w:rPr>
          <w:i w:val="0"/>
          <w:sz w:val="21"/>
        </w:rPr>
        <w:t>Wir haben Ihnen eine Datenanforderung zusammengestellt (Dok.-Nr. DATA-2026-001). Sie ist das eigentliche Arbeitspapier aus diesem Termin: 60 Positionen in zwölf Blöcken, jeweils mit Format und Zuständigkeit. Zwanzig Positionen sind als Paket 1 markiert – die brauchen wir zuerst.</w:t>
      </w:r>
    </w:p>
    <w:p>
      <w:pPr>
        <w:spacing w:before="20" w:after="20"/>
        <w:ind w:left="397"/>
      </w:pPr>
      <w:r>
        <w:t>– Eine Aufbereitung ist nicht nötig. Rohexporte sind uns lieber als schöne Tabellen – wir wollen sehen, wie die Daten wirklich aussehen.</w:t>
      </w:r>
    </w:p>
    <w:p>
      <w:pPr>
        <w:spacing w:before="20" w:after="20"/>
        <w:ind w:left="397"/>
      </w:pPr>
      <w:r>
        <w:t>– Unvollständig ist besser als nichts: Wir sagen Ihnen, was fehlt.</w:t>
      </w:r>
    </w:p>
    <w:p>
      <w:pPr>
        <w:spacing w:before="20" w:after="20"/>
        <w:ind w:left="397"/>
      </w:pPr>
      <w:r>
        <w:t>– Für den Upload haben wir einen OneDrive-Ordner freigegeben. Die Ordner dort sind so benannt wie die Blöcke der Datenanforderung.</w:t>
      </w:r>
    </w:p>
    <w:p>
      <w:pPr>
        <w:spacing w:before="20" w:after="20"/>
        <w:ind w:left="397"/>
      </w:pPr>
      <w:r>
        <w:t>– Personenbezogene Daten wie Teilnehmerlisten bitte anonymisiert oder mit Testnamen.</w:t>
      </w:r>
    </w:p>
    <w:p>
      <w:pPr>
        <w:spacing w:before="280" w:after="0"/>
      </w:pPr>
      <w:r>
        <w:rPr>
          <w:rFonts w:ascii="Calibri" w:hAnsi="Calibri"/>
          <w:b/>
          <w:color w:val="7F7F7F"/>
          <w:sz w:val="15"/>
        </w:rPr>
        <w:t>VOM UPLOAD ZU BUDGET UND PROJEKTPLAN</w:t>
      </w:r>
    </w:p>
    <w:p>
      <w:pPr>
        <w:spacing w:before="40" w:after="120"/>
        <w:pBdr>
          <w:bottom w:val="single" w:sz="8" w:space="2" w:color="1F4E79"/>
        </w:pBdr>
      </w:pPr>
      <w:r>
        <w:rPr>
          <w:b/>
          <w:color w:val="1F4E79"/>
          <w:sz w:val="26"/>
        </w:rPr>
        <w:t>Was danach passiert</w:t>
      </w:r>
    </w:p>
    <w:p>
      <w:pPr>
        <w:spacing w:after="160"/>
      </w:pPr>
      <w:r>
        <w:rPr>
          <w:i w:val="0"/>
          <w:sz w:val="21"/>
        </w:rPr>
        <w:t>Aus den bereitgestellten Unterlagen leiten wir die konkreten Anforderungen ab. Erst diese Auswertung erlaubt eine belastbare Aussage zu Aufwand, Budget und Zeitplan – eine Schätzung vor der Datenauswertung wäre geraten und für keine Seite hilfreich.</w:t>
      </w:r>
    </w:p>
    <w:tbl>
      <w:tblPr>
        <w:tblStyle w:val="TableGrid"/>
        <w:tblW w:type="auto" w:w="0"/>
        <w:jc w:val="left"/>
        <w:tblLook w:firstColumn="1" w:firstRow="1" w:lastColumn="0" w:lastRow="0" w:noHBand="0" w:noVBand="1" w:val="04A0"/>
      </w:tblPr>
      <w:tblGrid>
        <w:gridCol w:w="3213"/>
        <w:gridCol w:w="3213"/>
        <w:gridCol w:w="3213"/>
      </w:tblGrid>
      <w:tr>
        <w:tc>
          <w:tcPr>
            <w:tcW w:type="dxa" w:w="2268"/>
            <w:shd w:val="clear" w:fill="1F4E79"/>
          </w:tcPr>
          <w:p>
            <w:pPr>
              <w:spacing w:after="0"/>
            </w:pPr>
            <w:r>
              <w:rPr>
                <w:b/>
                <w:color w:val="FFFFFF"/>
                <w:sz w:val="19"/>
              </w:rPr>
              <w:t>Schritt</w:t>
            </w:r>
          </w:p>
        </w:tc>
        <w:tc>
          <w:tcPr>
            <w:tcW w:type="dxa" w:w="5443"/>
            <w:shd w:val="clear" w:fill="1F4E79"/>
          </w:tcPr>
          <w:p>
            <w:pPr>
              <w:spacing w:after="0"/>
            </w:pPr>
            <w:r>
              <w:rPr>
                <w:b/>
                <w:color w:val="FFFFFF"/>
                <w:sz w:val="19"/>
              </w:rPr>
              <w:t>Inhalt</w:t>
            </w:r>
          </w:p>
        </w:tc>
        <w:tc>
          <w:tcPr>
            <w:tcW w:type="dxa" w:w="1928"/>
            <w:shd w:val="clear" w:fill="1F4E79"/>
          </w:tcPr>
          <w:p>
            <w:pPr>
              <w:spacing w:after="0"/>
            </w:pPr>
            <w:r>
              <w:rPr>
                <w:b/>
                <w:color w:val="FFFFFF"/>
                <w:sz w:val="19"/>
              </w:rPr>
              <w:t>Wer</w:t>
            </w:r>
          </w:p>
        </w:tc>
      </w:tr>
      <w:tr>
        <w:tc>
          <w:tcPr>
            <w:tcW w:type="dxa" w:w="2268"/>
          </w:tcPr>
          <w:p>
            <w:pPr>
              <w:spacing w:after="0"/>
            </w:pPr>
            <w:r>
              <w:rPr>
                <w:sz w:val="19"/>
              </w:rPr>
              <w:t>1 · Upload</w:t>
            </w:r>
          </w:p>
        </w:tc>
        <w:tc>
          <w:tcPr>
            <w:tcW w:type="dxa" w:w="5443"/>
          </w:tcPr>
          <w:p>
            <w:pPr>
              <w:spacing w:after="0"/>
            </w:pPr>
            <w:r>
              <w:rPr>
                <w:sz w:val="19"/>
              </w:rPr>
              <w:t>biotec stellt die Unterlagen aus Paket 1 bereit</w:t>
            </w:r>
          </w:p>
        </w:tc>
        <w:tc>
          <w:tcPr>
            <w:tcW w:type="dxa" w:w="1928"/>
          </w:tcPr>
          <w:p>
            <w:pPr>
              <w:spacing w:after="0"/>
            </w:pPr>
            <w:r>
              <w:rPr>
                <w:sz w:val="19"/>
              </w:rPr>
              <w:t>biotec</w:t>
            </w:r>
          </w:p>
        </w:tc>
      </w:tr>
      <w:tr>
        <w:tc>
          <w:tcPr>
            <w:tcW w:type="dxa" w:w="2268"/>
          </w:tcPr>
          <w:p>
            <w:pPr>
              <w:spacing w:after="0"/>
            </w:pPr>
            <w:r>
              <w:rPr>
                <w:sz w:val="19"/>
              </w:rPr>
              <w:t>2 · Auswertung</w:t>
            </w:r>
          </w:p>
        </w:tc>
        <w:tc>
          <w:tcPr>
            <w:tcW w:type="dxa" w:w="5443"/>
          </w:tcPr>
          <w:p>
            <w:pPr>
              <w:spacing w:after="0"/>
            </w:pPr>
            <w:r>
              <w:rPr>
                <w:sz w:val="19"/>
              </w:rPr>
              <w:t>Wir prüfen Datenmenge, Datenqualität, Dokumentenvorlagen und die Struktur des Altsystems und stellen Rückfragen</w:t>
            </w:r>
          </w:p>
        </w:tc>
        <w:tc>
          <w:tcPr>
            <w:tcW w:type="dxa" w:w="1928"/>
          </w:tcPr>
          <w:p>
            <w:pPr>
              <w:spacing w:after="0"/>
            </w:pPr>
            <w:r>
              <w:rPr>
                <w:sz w:val="19"/>
              </w:rPr>
              <w:t>CertoClav</w:t>
            </w:r>
          </w:p>
        </w:tc>
      </w:tr>
      <w:tr>
        <w:tc>
          <w:tcPr>
            <w:tcW w:type="dxa" w:w="2268"/>
          </w:tcPr>
          <w:p>
            <w:pPr>
              <w:spacing w:after="0"/>
            </w:pPr>
            <w:r>
              <w:rPr>
                <w:sz w:val="19"/>
              </w:rPr>
              <w:t>3 · Scoping</w:t>
            </w:r>
          </w:p>
        </w:tc>
        <w:tc>
          <w:tcPr>
            <w:tcW w:type="dxa" w:w="5443"/>
          </w:tcPr>
          <w:p>
            <w:pPr>
              <w:spacing w:after="0"/>
            </w:pPr>
            <w:r>
              <w:rPr>
                <w:sz w:val="19"/>
              </w:rPr>
              <w:t>Umfang je Phase, Reihenfolge der Themen, Abgrenzung dessen, was bewusst später kommt</w:t>
            </w:r>
          </w:p>
        </w:tc>
        <w:tc>
          <w:tcPr>
            <w:tcW w:type="dxa" w:w="1928"/>
          </w:tcPr>
          <w:p>
            <w:pPr>
              <w:spacing w:after="0"/>
            </w:pPr>
            <w:r>
              <w:rPr>
                <w:sz w:val="19"/>
              </w:rPr>
              <w:t>CertoClav</w:t>
            </w:r>
          </w:p>
        </w:tc>
      </w:tr>
      <w:tr>
        <w:tc>
          <w:tcPr>
            <w:tcW w:type="dxa" w:w="2268"/>
          </w:tcPr>
          <w:p>
            <w:pPr>
              <w:spacing w:after="0"/>
            </w:pPr>
            <w:r>
              <w:rPr>
                <w:sz w:val="19"/>
              </w:rPr>
              <w:t>4 · Budget &amp; Projektplan</w:t>
            </w:r>
          </w:p>
        </w:tc>
        <w:tc>
          <w:tcPr>
            <w:tcW w:type="dxa" w:w="5443"/>
          </w:tcPr>
          <w:p>
            <w:pPr>
              <w:spacing w:after="0"/>
            </w:pPr>
            <w:r>
              <w:rPr>
                <w:sz w:val="19"/>
              </w:rPr>
              <w:t>Aufwandsschätzung, Phasenplan mit Terminen, Vorschlag für den Go-live</w:t>
            </w:r>
          </w:p>
        </w:tc>
        <w:tc>
          <w:tcPr>
            <w:tcW w:type="dxa" w:w="1928"/>
          </w:tcPr>
          <w:p>
            <w:pPr>
              <w:spacing w:after="0"/>
            </w:pPr>
            <w:r>
              <w:rPr>
                <w:sz w:val="19"/>
              </w:rPr>
              <w:t>CertoClav</w:t>
            </w:r>
          </w:p>
        </w:tc>
      </w:tr>
      <w:tr>
        <w:tc>
          <w:tcPr>
            <w:tcW w:type="dxa" w:w="2268"/>
          </w:tcPr>
          <w:p>
            <w:pPr>
              <w:spacing w:after="0"/>
            </w:pPr>
            <w:r>
              <w:rPr>
                <w:sz w:val="19"/>
              </w:rPr>
              <w:t>5 · Entscheidung</w:t>
            </w:r>
          </w:p>
        </w:tc>
        <w:tc>
          <w:tcPr>
            <w:tcW w:type="dxa" w:w="5443"/>
          </w:tcPr>
          <w:p>
            <w:pPr>
              <w:spacing w:after="0"/>
            </w:pPr>
            <w:r>
              <w:rPr>
                <w:sz w:val="19"/>
              </w:rPr>
              <w:t>Freigabe und Kick-Off-Termin</w:t>
            </w:r>
          </w:p>
        </w:tc>
        <w:tc>
          <w:tcPr>
            <w:tcW w:type="dxa" w:w="1928"/>
          </w:tcPr>
          <w:p>
            <w:pPr>
              <w:spacing w:after="0"/>
            </w:pPr>
            <w:r>
              <w:rPr>
                <w:sz w:val="19"/>
              </w:rPr>
              <w:t>gemeinsam</w:t>
            </w:r>
          </w:p>
        </w:tc>
      </w:tr>
    </w:tbl>
    <w:p>
      <w:pPr>
        <w:spacing w:before="280" w:after="120"/>
        <w:pBdr>
          <w:bottom w:val="single" w:sz="8" w:space="2" w:color="1F4E79"/>
        </w:pBdr>
      </w:pPr>
      <w:r>
        <w:rPr>
          <w:b/>
          <w:color w:val="1F4E79"/>
          <w:sz w:val="26"/>
        </w:rPr>
        <w:t>Vertraulichkeit</w:t>
      </w:r>
    </w:p>
    <w:p>
      <w:pPr>
        <w:spacing w:after="160"/>
      </w:pPr>
      <w:r>
        <w:rPr>
          <w:i w:val="0"/>
          <w:sz w:val="21"/>
        </w:rPr>
        <w:t>Die Unterlagen, um die wir bitten, sind sensibel: Kundendaten, Gutachten, kaufmännische Zahlen und je nach Umfang auch die Datenbank und der Quellcode Ihrer eigenen Anwendung. Wir behandeln alles vertraulich, nutzen es ausschließlich für dieses Projekt und bewahren es getrennt von der übrigen Projektdokumentation auf.</w:t>
      </w:r>
    </w:p>
    <w:p>
      <w:pPr>
        <w:spacing w:after="160"/>
      </w:pPr>
      <w:r>
        <w:rPr>
          <w:b/>
          <w:sz w:val="21"/>
        </w:rPr>
        <w:t>Auf Wunsch senden wir Ihnen gerne eine Vorlage für eine Vertraulichkeitsvereinbarung (NDA) zu, die wir vor der Übergabe der Unterlagen zeichnen. Sagen Sie uns einfach Bescheid.</w:t>
      </w:r>
    </w:p>
    <w:p>
      <w:pPr>
        <w:spacing w:after="160"/>
      </w:pPr>
      <w:r>
        <w:rPr>
          <w:i/>
          <w:sz w:val="19"/>
        </w:rPr>
        <w:t>Hinweis: Sobald personenbezogene Daten in größerem Umfang verarbeitet werden, kommt zusätzlich ein Vertrag zur Auftragsverarbeitung nach Art. 28 DSGVO in Betracht. Das stimmen wir gemeinsam ab.</w:t>
      </w:r>
    </w:p>
    <w:p>
      <w:pPr>
        <w:spacing w:before="280" w:after="120"/>
        <w:pBdr>
          <w:bottom w:val="single" w:sz="8" w:space="2" w:color="1F4E79"/>
        </w:pBdr>
      </w:pPr>
      <w:r>
        <w:rPr>
          <w:b/>
          <w:color w:val="1F4E79"/>
          <w:sz w:val="26"/>
        </w:rPr>
        <w:t>Noch offen</w:t>
      </w:r>
    </w:p>
    <w:p>
      <w:pPr>
        <w:spacing w:after="40"/>
      </w:pPr>
      <w:r>
        <w:rPr>
          <w:i/>
          <w:color w:val="7F7F7F"/>
          <w:sz w:val="18"/>
        </w:rPr>
        <w:t>Punkte, die im Termin nicht besprochen wurden und die wir im weiteren Verlauf klären.</w:t>
      </w:r>
    </w:p>
    <w:p>
      <w:pPr>
        <w:spacing w:before="20" w:after="20"/>
        <w:ind w:left="397"/>
      </w:pPr>
      <w:r>
        <w:t>– Wunschtermin für den Go-live und was ihn treibt.</w:t>
      </w:r>
    </w:p>
    <w:p>
      <w:pPr>
        <w:spacing w:before="20" w:after="20"/>
        <w:ind w:left="397"/>
      </w:pPr>
      <w:r>
        <w:t>– Budgetrahmen und Entscheidungsweg.</w:t>
      </w:r>
    </w:p>
    <w:p>
      <w:pPr>
        <w:spacing w:before="20" w:after="20"/>
        <w:ind w:left="397"/>
      </w:pPr>
      <w:r>
        <w:t>– Anzahl der späteren Odoo-Nutzer und deren Rollen.</w:t>
      </w:r>
    </w:p>
    <w:p>
      <w:pPr>
        <w:spacing w:before="20" w:after="20"/>
        <w:ind w:left="397"/>
      </w:pPr>
      <w:r>
        <w:t>– Gesellschaftsstruktur der drei Standorte – daraus ergibt sich, ob Odoo als eine oder als mehrere Gesellschaften eingerichtet wird.</w:t>
      </w:r>
    </w:p>
    <w:p>
      <w:pPr>
        <w:spacing w:before="20" w:after="20"/>
        <w:ind w:left="397"/>
      </w:pPr>
      <w:r>
        <w:t>– Ob die Anforderungen der Certania-Gruppe an Beschaffung, Fakturierung und Projektbewertung Teil dieses Projekts sind.</w:t>
      </w:r>
    </w:p>
    <w:p>
      <w:pPr>
        <w:spacing w:before="280" w:after="120"/>
        <w:pBdr>
          <w:bottom w:val="single" w:sz="8" w:space="2" w:color="1F4E79"/>
        </w:pBdr>
      </w:pPr>
      <w:r>
        <w:rPr>
          <w:b/>
          <w:color w:val="1F4E79"/>
          <w:sz w:val="26"/>
        </w:rPr>
        <w:t>Rückfragen</w:t>
      </w:r>
    </w:p>
    <w:p>
      <w:r>
        <w:rPr>
          <w:color w:val="7F7F7F"/>
          <w:sz w:val="20"/>
        </w:rPr>
        <w:t>Michael Simon  ·  michael.simon@certoclav.com</w:t>
        <w:br/>
        <w:t>CertoClav Consulting  ·  CertoClav Sterilizer GmbH, Leonding</w:t>
      </w:r>
    </w:p>
    <w:sectPr w:rsidR="00FC693F" w:rsidRPr="0006063C" w:rsidSect="00034616">
      <w:headerReference w:type="default" r:id="rId9"/>
      <w:footerReference w:type="default" r:id="rId10"/>
      <w:pgSz w:w="11906" w:h="16838"/>
      <w:pgMar w:top="124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color w:val="7F7F7F"/>
        <w:sz w:val="13"/>
      </w:rPr>
      <w:t>CertoClav Sterilizer GmbH  ·  Peintner Straße 10, 4060 Leonding, Österreich  ·  Geschäftsführer: Michael Simon (geb. Dirix), MSc.</w:t>
    </w:r>
  </w:p>
  <w:p>
    <w:pPr>
      <w:spacing w:after="0"/>
      <w:jc w:val="center"/>
    </w:pPr>
    <w:r>
      <w:rPr>
        <w:color w:val="7F7F7F"/>
        <w:sz w:val="13"/>
      </w:rPr>
      <w:t>Firmenbuch: Landesgericht Linz, FN 122912d  ·  UID ATU22821702  ·  Tel. +43 732 674 278  ·  support@certoclav.com  ·  www.certoclav.com</w:t>
    </w:r>
  </w:p>
  <w:p>
    <w:pPr>
      <w:spacing w:before="40"/>
      <w:jc w:val="center"/>
    </w:pPr>
    <w:r>
      <w:rPr>
        <w:color w:val="7F7F7F"/>
        <w:sz w:val="14"/>
      </w:rPr>
      <w:t xml:space="preserve">Seite </w:t>
    </w:r>
    <w:fldSimple w:instr="PAGE">
      <w:r>
        <w:t>1</w:t>
      </w:r>
    </w:fldSimple>
    <w:r>
      <w:rPr>
        <w:color w:val="7F7F7F"/>
        <w:sz w:val="14"/>
      </w:rPr>
      <w:t xml:space="preserve"> von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BFBFBF"/>
      </w:pBdr>
    </w:pPr>
    <w:r/>
    <w:r>
      <w:rPr>
        <w:b/>
        <w:color w:val="1F4E79"/>
        <w:sz w:val="16"/>
      </w:rPr>
      <w:t>CERTOCLAV CONSULTING</w:t>
    </w:r>
    <w:r>
      <w:rPr>
        <w:color w:val="7F7F7F"/>
        <w:sz w:val="16"/>
      </w:rPr>
      <w:tab/>
      <w:t>Protokoll Discovery Call  ·  Dok.-Nr. DISC-2026-001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