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4E79"/>
          <w:sz w:val="44"/>
        </w:rPr>
        <w:t>Protokoll Discovery Call</w:t>
      </w:r>
    </w:p>
    <w:p>
      <w:pPr>
        <w:spacing w:after="280"/>
      </w:pPr>
      <w:r>
        <w:rPr>
          <w:color w:val="7F7F7F"/>
          <w:sz w:val="22"/>
        </w:rPr>
        <w:t>Odoo für die biotec GmbH  ·  Verstehen, wo Sie stehen – und prüfen, ob und wie Odoo Sie weiterbringt.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Feld</w:t>
            </w:r>
          </w:p>
        </w:tc>
        <w:tc>
          <w:tcPr>
            <w:tcW w:type="dxa" w:w="7087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Eintrag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19"/>
              </w:rPr>
              <w:t>Datum / Uhrzeit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19"/>
              </w:rPr>
              <w:t>Montag, 17.08.2026, 12:30 – 13:30 Uhr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19"/>
              </w:rPr>
              <w:t>Dauer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19"/>
              </w:rPr>
              <w:t>60 Minuten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19"/>
              </w:rPr>
              <w:t>Ort / Tool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19"/>
              </w:rPr>
              <w:t>Microsoft Teams (Videokonferenz, via Calendly gebucht)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19"/>
              </w:rPr>
              <w:t>Betreff der Einladung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19"/>
              </w:rPr>
              <w:t>Discovery Call biotec GmbH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19"/>
              </w:rPr>
              <w:t>Organisator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19"/>
              </w:rPr>
              <w:t>Michael Simon, michael.simon@certoclav.com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19"/>
              </w:rPr>
              <w:t>Protokoll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19"/>
              </w:rPr>
              <w:t>Michael Simon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19"/>
              </w:rPr>
              <w:t>Rückmeldungen (Stand Einladung)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19"/>
              </w:rPr>
              <w:t>4 Zusagen, 0 vorläufig, 0 Absagen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19"/>
              </w:rPr>
              <w:t>Aufzeichnung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19"/>
              </w:rPr>
              <w:t>☐ ja   ☐ nein   (Einverständnis eingeholt: ☐ ja  ☐ nein)</w:t>
            </w:r>
          </w:p>
        </w:tc>
      </w:tr>
    </w:tbl>
    <w:p>
      <w:pPr>
        <w:spacing w:before="280" w:after="0"/>
      </w:pPr>
      <w:r>
        <w:rPr>
          <w:rFonts w:ascii="Calibri" w:hAnsi="Calibri"/>
          <w:b/>
          <w:color w:val="7F7F7F"/>
          <w:sz w:val="15"/>
        </w:rPr>
        <w:t>LAUT EINLADUNG</w:t>
      </w:r>
    </w:p>
    <w:p>
      <w:pPr>
        <w:spacing w:before="4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Teilnehmer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871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665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E-Mail</w:t>
            </w:r>
          </w:p>
        </w:tc>
        <w:tc>
          <w:tcPr>
            <w:tcW w:type="dxa" w:w="1587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Organisation</w:t>
            </w:r>
          </w:p>
        </w:tc>
        <w:tc>
          <w:tcPr>
            <w:tcW w:type="dxa" w:w="1871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Rolle / Funktion</w:t>
            </w:r>
          </w:p>
        </w:tc>
        <w:tc>
          <w:tcPr>
            <w:tcW w:type="dxa" w:w="1644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sz w:val="19"/>
              </w:rPr>
              <w:t>Michael Simon</w:t>
            </w:r>
          </w:p>
        </w:tc>
        <w:tc>
          <w:tcPr>
            <w:tcW w:type="dxa" w:w="2665"/>
          </w:tcPr>
          <w:p>
            <w:pPr>
              <w:spacing w:after="0"/>
            </w:pPr>
            <w:r>
              <w:rPr>
                <w:sz w:val="19"/>
              </w:rPr>
              <w:t>michael.simon@certoclav.com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9"/>
              </w:rPr>
              <w:t>CertoClav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9"/>
              </w:rPr>
              <w:t>Consultant &amp; SPOC, Organisator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9"/>
              </w:rPr>
              <w:t>Organisator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sz w:val="19"/>
              </w:rPr>
              <w:t>Dr. Thomas Wilke</w:t>
            </w:r>
          </w:p>
        </w:tc>
        <w:tc>
          <w:tcPr>
            <w:tcW w:type="dxa" w:w="2665"/>
          </w:tcPr>
          <w:p>
            <w:pPr>
              <w:spacing w:after="0"/>
            </w:pPr>
            <w:r>
              <w:rPr>
                <w:sz w:val="19"/>
              </w:rPr>
              <w:t>twilke@certania.com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9"/>
              </w:rPr>
              <w:t>Certania / biotec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9"/>
              </w:rPr>
              <w:t>Direktor Food (Certania), CEO biotec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9"/>
              </w:rPr>
              <w:t>keine Antwort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sz w:val="19"/>
              </w:rPr>
              <w:t>Dr. Andreas Bermpohl</w:t>
            </w:r>
          </w:p>
        </w:tc>
        <w:tc>
          <w:tcPr>
            <w:tcW w:type="dxa" w:w="2665"/>
          </w:tcPr>
          <w:p>
            <w:pPr>
              <w:spacing w:after="0"/>
            </w:pPr>
            <w:r>
              <w:rPr>
                <w:sz w:val="19"/>
              </w:rPr>
              <w:t>abermpohl@t-online.de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9"/>
              </w:rPr>
              <w:t>biotec (extern)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9"/>
              </w:rPr>
              <w:t>Ansprechpartner Richtung biotec, Prokura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9"/>
              </w:rPr>
              <w:t>keine Antwort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sz w:val="19"/>
              </w:rPr>
              <w:t>Melanie Frank</w:t>
            </w:r>
          </w:p>
        </w:tc>
        <w:tc>
          <w:tcPr>
            <w:tcW w:type="dxa" w:w="2665"/>
          </w:tcPr>
          <w:p>
            <w:pPr>
              <w:spacing w:after="0"/>
            </w:pPr>
            <w:r>
              <w:rPr>
                <w:sz w:val="19"/>
              </w:rPr>
              <w:t>melanie.frank@biotec-gmbh.com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9"/>
              </w:rPr>
              <w:t>biotec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9"/>
              </w:rPr>
              <w:t>Promovierte Biologin; koordiniert die Labortätigkeiten und übergeordnete Prozesse; Hygieneinspektion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9"/>
              </w:rPr>
              <w:t>keine Antwort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sz w:val="19"/>
              </w:rPr>
              <w:t>Michael Brand</w:t>
            </w:r>
          </w:p>
        </w:tc>
        <w:tc>
          <w:tcPr>
            <w:tcW w:type="dxa" w:w="2665"/>
          </w:tcPr>
          <w:p>
            <w:pPr>
              <w:spacing w:after="0"/>
            </w:pPr>
            <w:r>
              <w:rPr>
                <w:sz w:val="19"/>
              </w:rPr>
              <w:t>michael.brand@biotec-gmbh.com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9"/>
              </w:rPr>
              <w:t>biotec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9"/>
              </w:rPr>
              <w:t>Projektleiter Hygieneinspektion seit 2020; Organisation der Kunden und Übergabe der Gutachten; Begleiter des ERP-Projekts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9"/>
              </w:rPr>
              <w:t>keine Antwort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sz w:val="19"/>
              </w:rPr>
              <w:t>Nicole Krupa</w:t>
            </w:r>
          </w:p>
        </w:tc>
        <w:tc>
          <w:tcPr>
            <w:tcW w:type="dxa" w:w="2665"/>
          </w:tcPr>
          <w:p>
            <w:pPr>
              <w:spacing w:after="0"/>
            </w:pPr>
            <w:r>
              <w:rPr>
                <w:sz w:val="19"/>
              </w:rPr>
              <w:t>nicole.krupa@biotec-gmbh.com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9"/>
              </w:rPr>
              <w:t>biotec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9"/>
              </w:rPr>
              <w:t>seit einem Jahr bei biotec; enger Kontakt zu den Projektleitern; Rechnungen, Schulungen, Werbung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9"/>
              </w:rPr>
              <w:t>keine Antwort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sz w:val="19"/>
              </w:rPr>
              <w:t>Annette Krupa</w:t>
            </w:r>
          </w:p>
        </w:tc>
        <w:tc>
          <w:tcPr>
            <w:tcW w:type="dxa" w:w="2665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9"/>
              </w:rPr>
              <w:t>biotec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9"/>
              </w:rPr>
              <w:t>Buchhaltung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9"/>
              </w:rPr>
              <w:t>nicht eingeladen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sz w:val="19"/>
              </w:rPr>
              <w:t>unbekannt (mw@)</w:t>
            </w:r>
          </w:p>
        </w:tc>
        <w:tc>
          <w:tcPr>
            <w:tcW w:type="dxa" w:w="2665"/>
          </w:tcPr>
          <w:p>
            <w:pPr>
              <w:spacing w:after="0"/>
            </w:pPr>
            <w:r>
              <w:rPr>
                <w:sz w:val="19"/>
              </w:rPr>
              <w:t>mw@westbomke.com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9"/>
              </w:rPr>
              <w:t>Westbomke (?)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9"/>
              </w:rPr>
              <w:t>IT-Administration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9"/>
              </w:rPr>
              <w:t>keine Antwort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sz w:val="19"/>
              </w:rPr>
              <w:t>Moritz Gruber</w:t>
            </w:r>
          </w:p>
        </w:tc>
        <w:tc>
          <w:tcPr>
            <w:tcW w:type="dxa" w:w="2665"/>
          </w:tcPr>
          <w:p>
            <w:pPr>
              <w:spacing w:after="0"/>
            </w:pPr>
            <w:r>
              <w:rPr>
                <w:sz w:val="19"/>
              </w:rPr>
              <w:t>mgruber@certania.com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9"/>
              </w:rPr>
              <w:t>Certania (optional)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9"/>
              </w:rPr>
              <w:t>CEO / Managing Shareholder, Initiator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9"/>
              </w:rPr>
              <w:t>keine Antwort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sz w:val="19"/>
              </w:rPr>
              <w:t>Jonas Leitenmeier</w:t>
            </w:r>
          </w:p>
        </w:tc>
        <w:tc>
          <w:tcPr>
            <w:tcW w:type="dxa" w:w="2665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9"/>
              </w:rPr>
              <w:t>CertoClav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9"/>
              </w:rPr>
              <w:t>AI-Ops-Lead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9"/>
              </w:rPr>
              <w:t>✓ zugesagt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sz w:val="19"/>
              </w:rPr>
              <w:t>Balázs Szaradics</w:t>
            </w:r>
          </w:p>
        </w:tc>
        <w:tc>
          <w:tcPr>
            <w:tcW w:type="dxa" w:w="2665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9"/>
              </w:rPr>
              <w:t>CertoClav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9"/>
              </w:rPr>
              <w:t>AI-Operator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9"/>
              </w:rPr>
              <w:t>✓ zugesagt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sz w:val="19"/>
              </w:rPr>
              <w:t>Patrick Gottfried</w:t>
            </w:r>
          </w:p>
        </w:tc>
        <w:tc>
          <w:tcPr>
            <w:tcW w:type="dxa" w:w="2665"/>
          </w:tcPr>
          <w:p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9"/>
              </w:rPr>
              <w:t>CertoClav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9"/>
              </w:rPr>
              <w:t>AI-Operator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9"/>
              </w:rPr>
              <w:t>✓ zugesagt</w:t>
            </w:r>
          </w:p>
        </w:tc>
      </w:tr>
    </w:tbl>
    <w:p>
      <w:pPr>
        <w:spacing w:after="40"/>
      </w:pPr>
      <w:r>
        <w:rPr>
          <w:i/>
          <w:color w:val="7F7F7F"/>
          <w:sz w:val="18"/>
        </w:rPr>
        <w:t>Annette Krupa (Buchhaltung) war nicht eingeladen, ist für das ERP-Projekt aber relevant. Bei Nicole Krupa steht in der Mitschrift „Biotec Stetic“ – Zuordnung zu klären. Anwesenheit im Termin abweichend von der Einladung bitte korrigieren.</w:t>
      </w:r>
    </w:p>
    <w:p>
      <w:pPr>
        <w:spacing w:before="280" w:after="0"/>
      </w:pPr>
      <w:r>
        <w:rPr>
          <w:rFonts w:ascii="Calibri" w:hAnsi="Calibri"/>
          <w:b/>
          <w:color w:val="7F7F7F"/>
          <w:sz w:val="15"/>
        </w:rPr>
        <w:t>ZUSAMMENFASSUNG</w:t>
      </w:r>
    </w:p>
    <w:p>
      <w:pPr>
        <w:spacing w:before="4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Kernaussagen des Gesprächs</w:t>
      </w:r>
    </w:p>
    <w:p>
      <w:pPr>
        <w:spacing w:before="20" w:after="20"/>
        <w:ind w:left="397"/>
      </w:pPr>
      <w:r>
        <w:t>– biotec besteht aus zwei Standorten – Gütersloh als Hauptstandort und München („biotec Süd“). Gesucht wird ein ERP für eine kleine Gesellschaft.</w:t>
      </w:r>
    </w:p>
    <w:p>
      <w:pPr>
        <w:spacing w:before="20" w:after="20"/>
        <w:ind w:left="397"/>
      </w:pPr>
      <w:r>
        <w:t>– Das Altsystem ist eine Delphi-Applikation mit vielen Schnittstellen; die Berichte erzeugt ein separates Gutachtenprogramm, die Ablage läuft über OneDrive.</w:t>
      </w:r>
    </w:p>
    <w:p>
      <w:pPr>
        <w:spacing w:before="20" w:after="20"/>
        <w:ind w:left="397"/>
      </w:pPr>
      <w:r>
        <w:t>– Harte Anforderung: Die Dokumente – insbesondere Gutachten und Berichte – müssen exakt so aussehen wie bisher.</w:t>
      </w:r>
    </w:p>
    <w:p>
      <w:pPr>
        <w:spacing w:before="20" w:after="20"/>
        <w:ind w:left="397"/>
      </w:pPr>
      <w:r>
        <w:t>– Das Deck-Modell Train-the-Trainer wurde abgelehnt. Gewünscht ist eine gründliche Vor-Ort-Schulung am Projektende für drei bis vier namentlich benannte Personen.</w:t>
      </w:r>
    </w:p>
    <w:p>
      <w:pPr>
        <w:spacing w:before="20" w:after="20"/>
        <w:ind w:left="397"/>
      </w:pPr>
      <w:r>
        <w:t>– Zwei Geschäftsbereiche prägen den Scope: der Laborprozess (Probenahme → Bebrütung → Auszählung → Gutachten → Rechnung) und das Schulungsgeschäft (bundesweite VDI-Seminare mit langer Vorplanung).</w:t>
      </w:r>
    </w:p>
    <w:p>
      <w:pPr>
        <w:spacing w:before="280" w:after="0"/>
      </w:pPr>
      <w:r>
        <w:rPr>
          <w:rFonts w:ascii="Calibri" w:hAnsi="Calibri"/>
          <w:b/>
          <w:color w:val="7F7F7F"/>
          <w:sz w:val="15"/>
        </w:rPr>
        <w:t>AGENDA 01 – CA. 10 MIN.</w:t>
      </w:r>
    </w:p>
    <w:p>
      <w:pPr>
        <w:spacing w:before="4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1 · CertoClav &amp; unser Ansatz</w:t>
      </w:r>
    </w:p>
    <w:p>
      <w:pPr>
        <w:spacing w:after="40"/>
      </w:pPr>
      <w:r>
        <w:rPr>
          <w:i/>
          <w:color w:val="7F7F7F"/>
          <w:sz w:val="18"/>
        </w:rPr>
        <w:t>Vorgestellt: SPOC auf Beraterseite, Einrichtung + Datenimport durch CertoClav mit Claude, iterative Feedbackrunden, Train-the-Trainer.</w:t>
      </w:r>
    </w:p>
    <w:p>
      <w:pPr>
        <w:spacing w:before="160" w:after="0"/>
      </w:pPr>
      <w:r>
        <w:rPr>
          <w:b/>
        </w:rPr>
        <w:t>Reaktionen, Rückfragen, Bedenken zum Arbeitsmodell</w:t>
      </w:r>
      <w:r>
        <w:rPr>
          <w:i/>
          <w:color w:val="7F7F7F"/>
          <w:sz w:val="18"/>
        </w:rPr>
        <w:t xml:space="preserve">  (z. B. SPOC-Rolle, KI-Einsatz, Datenschutz, Verfügbarkeit)</w:t>
      </w:r>
    </w:p>
    <w:p>
      <w:pPr>
        <w:spacing w:before="20" w:after="20"/>
        <w:ind w:left="397"/>
      </w:pPr>
      <w:r>
        <w:t>– Train-the-Trainer wird abgelehnt. Stattdessen: gründliche Schulung am Ende des Projekts, vor Ort beim Kunden.</w:t>
      </w:r>
    </w:p>
    <w:p>
      <w:pPr>
        <w:spacing w:before="20" w:after="20"/>
        <w:ind w:left="397"/>
      </w:pPr>
      <w:r>
        <w:t>– Zu schulen sind Stefan, Michael Brand und Markus sowie eine weitere Person. Die Notizen nennen sowohl „3 Personen“ als auch „4 Leute“ – Anzahl und Namen sind zu bestätigen.</w:t>
      </w:r>
    </w:p>
    <w:p>
      <w:pPr>
        <w:spacing w:before="20" w:after="20"/>
        <w:ind w:left="397"/>
      </w:pPr>
      <w:r>
        <w:t>– Konsequenz für das Scoping: Der Schulungsaufwand liegt bei CertoClav statt beim Hauptansprechpartner. Das Arbeitsmodell aus dem Deck ist an dieser Stelle anzupassen.</w:t>
      </w:r>
    </w:p>
    <w:p>
      <w:pPr>
        <w:spacing w:before="280" w:after="0"/>
      </w:pPr>
      <w:r>
        <w:rPr>
          <w:rFonts w:ascii="Calibri" w:hAnsi="Calibri"/>
          <w:b/>
          <w:color w:val="7F7F7F"/>
          <w:sz w:val="15"/>
        </w:rPr>
        <w:t>DECK-FOLIE „WAS WIR ÜBER BIOTEC WISSEN“</w:t>
      </w:r>
    </w:p>
    <w:p>
      <w:pPr>
        <w:spacing w:before="4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2 · Firmenprofil-Check</w:t>
      </w:r>
    </w:p>
    <w:p>
      <w:pPr>
        <w:spacing w:after="40"/>
      </w:pPr>
      <w:r>
        <w:rPr>
          <w:i/>
          <w:color w:val="7F7F7F"/>
          <w:sz w:val="18"/>
        </w:rPr>
        <w:t>Unsere Annahmen aus biotec-gmbh.com – Korrekturen und Ergänzungen festhalten.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402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Annahme</w:t>
            </w:r>
          </w:p>
        </w:tc>
        <w:tc>
          <w:tcPr>
            <w:tcW w:type="dxa" w:w="1474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Bestätigt?</w:t>
            </w:r>
          </w:p>
        </w:tc>
        <w:tc>
          <w:tcPr>
            <w:tcW w:type="dxa" w:w="4762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Korrektur / Ergänzung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</w:rPr>
              <w:t>Bundesweites Hygieneinstitut, VDI-Schulungspartner (VDI 6022 / 2047)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9"/>
              </w:rPr>
              <w:t>☒ ja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sz w:val="19"/>
              </w:rPr>
              <w:t>Schulungen werden bundesweit beworben; Pflichtschulung für Großkonzerne und Industrieparks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</w:rPr>
              <w:t>Inspektionen vor Ort: RLT-Anlagen, Verdunstungskühlanlagen, Luftentkeimung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9"/>
              </w:rPr>
              <w:t>☒ ja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sz w:val="19"/>
              </w:rPr>
              <w:t>Hygienekontrollen; 3er-Team am Standort München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</w:rPr>
              <w:t>Beratung &amp; Gefährdungsbeurteilungen (Trinkwasser-, Krankenhaushygiene)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9"/>
              </w:rPr>
              <w:t>☐ offen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sz w:val="19"/>
              </w:rPr>
              <w:t>im Termin nicht vertieft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</w:rPr>
              <w:t>Bundesweite VDI-Schulungen, Termine online buchbar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9"/>
              </w:rPr>
              <w:t>☒ ja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sz w:val="19"/>
              </w:rPr>
              <w:t>Durchführung ab mehr als 10 Teilnehmern; Seminarfläche 6 Monate im Voraus gebucht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</w:rPr>
              <w:t>Labor &amp; Forschung, Entwicklung neuer Analyseverfahren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9"/>
              </w:rPr>
              <w:t>☒ ja / teilweise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sz w:val="19"/>
              </w:rPr>
              <w:t>Mikrobiologie mit wenigen Analysetechniken (siehe Laborprozess); Forschung nicht besprochen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</w:rPr>
              <w:t>Standort Gütersloh (Elbrachtsweg 76, 33332)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9"/>
              </w:rPr>
              <w:t>☒ ja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sz w:val="19"/>
              </w:rPr>
              <w:t>Hauptstandort – ergänzt: zweiter Standort München („biotec Süd“)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</w:rPr>
              <w:t>Ein Standort / eine Gesellschaft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9"/>
              </w:rPr>
              <w:t>☐ nein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sz w:val="19"/>
              </w:rPr>
              <w:t>Zwei Standorte: Gütersloh und München. Gesellschaftsrechtliche Struktur zu klären</w:t>
            </w:r>
          </w:p>
        </w:tc>
      </w:tr>
    </w:tbl>
    <w:p>
      <w:pPr>
        <w:spacing w:before="280" w:after="0"/>
      </w:pPr>
      <w:r>
        <w:rPr>
          <w:rFonts w:ascii="Calibri" w:hAnsi="Calibri"/>
          <w:b/>
          <w:color w:val="7F7F7F"/>
          <w:sz w:val="15"/>
        </w:rPr>
        <w:t>ERGÄNZUNG AUS DEM TERMIN</w:t>
      </w:r>
    </w:p>
    <w:p>
      <w:pPr>
        <w:spacing w:before="4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2b · Standorte &amp; Struktur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608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Standort</w:t>
            </w:r>
          </w:p>
        </w:tc>
        <w:tc>
          <w:tcPr>
            <w:tcW w:type="dxa" w:w="1701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Team</w:t>
            </w:r>
          </w:p>
        </w:tc>
        <w:tc>
          <w:tcPr>
            <w:tcW w:type="dxa" w:w="5329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Aufgaben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sz w:val="19"/>
              </w:rPr>
              <w:t>Gütersloh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  <w:t>Hauptstandort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sz w:val="19"/>
              </w:rPr>
              <w:t>Labor, Bebrütung &amp; Auszählung, Gutachtenerstellung, Verwaltung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sz w:val="19"/>
              </w:rPr>
              <w:t>München („biotec Süd“)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  <w:t>3 Personen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sz w:val="19"/>
              </w:rPr>
              <w:t>Hygienekontrollen; Büro in einem Privatgebäude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sz w:val="19"/>
              </w:rPr>
              <w:t>Walda Technologiepark (Zuordnung offen)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  <w:t>2–3 Personen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sz w:val="19"/>
              </w:rPr>
              <w:t>Analytik von Boden und Wasser</w:t>
            </w:r>
          </w:p>
        </w:tc>
      </w:tr>
    </w:tbl>
    <w:p>
      <w:pPr>
        <w:spacing w:before="280" w:after="0"/>
      </w:pPr>
      <w:r>
        <w:rPr>
          <w:rFonts w:ascii="Calibri" w:hAnsi="Calibri"/>
          <w:b/>
          <w:color w:val="7F7F7F"/>
          <w:sz w:val="15"/>
        </w:rPr>
        <w:t>DISCOVERY 1/3</w:t>
      </w:r>
    </w:p>
    <w:p>
      <w:pPr>
        <w:spacing w:before="4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3 · Schmerzpunkte &amp; Ziele</w:t>
      </w:r>
    </w:p>
    <w:p>
      <w:pPr>
        <w:spacing w:before="160" w:after="0"/>
      </w:pPr>
      <w:r>
        <w:rPr>
          <w:b/>
        </w:rPr>
        <w:t>Warum sprechen wir gerade jetzt über ein ERP?</w:t>
      </w:r>
    </w:p>
    <w:p>
      <w:pPr>
        <w:spacing w:before="20"/>
        <w:ind w:left="397"/>
      </w:pPr>
      <w:r>
        <w:rPr>
          <w:i/>
          <w:color w:val="B04A00"/>
        </w:rPr>
        <w:t>– Im Termin nicht beantwortet – offen.</w:t>
      </w:r>
    </w:p>
    <w:p>
      <w:pPr>
        <w:spacing w:before="160" w:after="0"/>
      </w:pPr>
      <w:r>
        <w:rPr>
          <w:b/>
        </w:rPr>
        <w:t>Was funktioniert heute nicht – oder nur mit viel Handarbeit?</w:t>
      </w:r>
      <w:r>
        <w:rPr>
          <w:i/>
          <w:color w:val="7F7F7F"/>
          <w:sz w:val="18"/>
        </w:rPr>
        <w:t xml:space="preserve">  (Doppelerfassung, Zettelwirtschaft, Excel-Inseln)</w:t>
      </w:r>
    </w:p>
    <w:p>
      <w:pPr>
        <w:spacing w:before="20" w:after="20"/>
        <w:ind w:left="397"/>
      </w:pPr>
      <w:r>
        <w:t>– Die Anlagenliste wird in einer kleinen Zusatzsoftware erstellt und auf Papier ausgedruckt; im Labor wird nach diesem Papierdokument gearbeitet.</w:t>
      </w:r>
    </w:p>
    <w:p>
      <w:pPr>
        <w:spacing w:before="20" w:after="20"/>
        <w:ind w:left="397"/>
      </w:pPr>
      <w:r>
        <w:t>– Ergebnisse (Auszählung, Fotos) werden anschließend manuell zurückgeführt und am Datensatz hinterlegt.</w:t>
      </w:r>
    </w:p>
    <w:p>
      <w:pPr>
        <w:spacing w:before="160" w:after="0"/>
      </w:pPr>
      <w:r>
        <w:rPr>
          <w:b/>
        </w:rPr>
        <w:t>Wo geht im Alltag am meisten Zeit verloren?</w:t>
      </w:r>
      <w:r>
        <w:rPr>
          <w:i/>
          <w:color w:val="7F7F7F"/>
          <w:sz w:val="18"/>
        </w:rPr>
        <w:t xml:space="preserve">  (Einsatzplanung, Berichte, Rechnungsstellung, Kursorganisation)</w:t>
      </w:r>
    </w:p>
    <w:p>
      <w:pPr>
        <w:spacing w:before="20"/>
        <w:ind w:left="397"/>
      </w:pPr>
      <w:r>
        <w:rPr>
          <w:i/>
          <w:color w:val="B04A00"/>
        </w:rPr>
        <w:t>– Im Termin nicht beantwortet – offen.</w:t>
      </w:r>
    </w:p>
    <w:p>
      <w:pPr>
        <w:spacing w:before="160" w:after="0"/>
      </w:pPr>
      <w:r>
        <w:rPr>
          <w:b/>
        </w:rPr>
        <w:t>Was ist der Auslöser, das jetzt anzugehen?</w:t>
      </w:r>
      <w:r>
        <w:rPr>
          <w:i/>
          <w:color w:val="7F7F7F"/>
          <w:sz w:val="18"/>
        </w:rPr>
        <w:t xml:space="preserve">  (Wachstum, Personalwechsel, Kundenanforderungen, Altsystem)</w:t>
      </w:r>
    </w:p>
    <w:p>
      <w:pPr>
        <w:spacing w:before="20"/>
        <w:ind w:left="397"/>
      </w:pPr>
      <w:r>
        <w:rPr>
          <w:i/>
          <w:color w:val="B04A00"/>
        </w:rPr>
        <w:t>– Im Termin nicht beantwortet – offen.</w:t>
      </w:r>
    </w:p>
    <w:p>
      <w:pPr>
        <w:spacing w:before="160" w:after="0"/>
      </w:pPr>
      <w:r>
        <w:rPr>
          <w:b/>
        </w:rPr>
        <w:t>Woran würden Sie in 12 Monaten festmachen, dass sich das Projekt gelohnt hat?</w:t>
      </w:r>
    </w:p>
    <w:p>
      <w:pPr>
        <w:spacing w:before="20"/>
        <w:ind w:left="397"/>
      </w:pPr>
      <w:r>
        <w:rPr>
          <w:i/>
          <w:color w:val="B04A00"/>
        </w:rPr>
        <w:t>– Im Termin nicht beantwortet – offen.</w:t>
      </w:r>
    </w:p>
    <w:p>
      <w:pPr>
        <w:spacing w:before="160" w:after="0"/>
      </w:pPr>
      <w:r>
        <w:rPr>
          <w:b/>
        </w:rPr>
        <w:t>Was soll auf keinen Fall schlechter werden als heute?</w:t>
      </w:r>
    </w:p>
    <w:p>
      <w:pPr>
        <w:spacing w:before="20" w:after="20"/>
        <w:ind w:left="397"/>
      </w:pPr>
      <w:r>
        <w:t>– Die Dokumente müssen exakt so aussehen wie bisher – Gutachten und Berichte sind gegenüber den Kunden gesetzt.</w:t>
      </w:r>
    </w:p>
    <w:p>
      <w:pPr>
        <w:spacing w:before="280" w:after="0"/>
      </w:pPr>
      <w:r>
        <w:rPr>
          <w:rFonts w:ascii="Calibri" w:hAnsi="Calibri"/>
          <w:b/>
          <w:color w:val="7F7F7F"/>
          <w:sz w:val="15"/>
        </w:rPr>
        <w:t>DISCOVERY 2/3</w:t>
      </w:r>
    </w:p>
    <w:p>
      <w:pPr>
        <w:spacing w:before="4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4 · Prozesse, Systeme &amp; Daten</w:t>
      </w:r>
    </w:p>
    <w:p>
      <w:pPr>
        <w:spacing w:after="40"/>
      </w:pPr>
      <w:r>
        <w:rPr>
          <w:i/>
          <w:color w:val="7F7F7F"/>
          <w:sz w:val="18"/>
        </w:rPr>
        <w:t>Basis für Scoping, Phasierung und den Claude-gestützten Datenimport.</w:t>
      </w:r>
    </w:p>
    <w:p>
      <w:pPr>
        <w:spacing w:before="160" w:after="0"/>
      </w:pPr>
      <w:r>
        <w:rPr>
          <w:b/>
        </w:rPr>
        <w:t>Welche Software ist heute im Einsatz – und wofür?</w:t>
      </w:r>
      <w:r>
        <w:rPr>
          <w:i/>
          <w:color w:val="7F7F7F"/>
          <w:sz w:val="18"/>
        </w:rPr>
        <w:t xml:space="preserve">  (Buchhaltung/DATEV, Planung, Labor, Kursbuchung, Office)</w:t>
      </w:r>
    </w:p>
    <w:p>
      <w:pPr>
        <w:spacing w:before="20" w:after="20"/>
        <w:ind w:left="397"/>
      </w:pPr>
      <w:r>
        <w:t>– Altsystem: Delphi-Applikation mit vielen Schnittstellen.</w:t>
      </w:r>
    </w:p>
    <w:p>
      <w:pPr>
        <w:spacing w:before="20" w:after="20"/>
        <w:ind w:left="397"/>
      </w:pPr>
      <w:r>
        <w:t>– Separates Gutachtenprogramm erzeugt die Berichte.</w:t>
      </w:r>
    </w:p>
    <w:p>
      <w:pPr>
        <w:spacing w:before="20" w:after="20"/>
        <w:ind w:left="397"/>
      </w:pPr>
      <w:r>
        <w:t>– Kleine Zusatzsoftware für die Erstellung der Anlagenliste.</w:t>
      </w:r>
    </w:p>
    <w:p>
      <w:pPr>
        <w:spacing w:before="20" w:after="20"/>
        <w:ind w:left="397"/>
      </w:pPr>
      <w:r>
        <w:t>– Dokumentenablage in OneDrive.</w:t>
      </w:r>
    </w:p>
    <w:p>
      <w:pPr>
        <w:spacing w:before="20" w:after="20"/>
        <w:ind w:left="397"/>
      </w:pPr>
      <w:r>
        <w:t>– Buchhaltungssystem und Kursverwaltung: im Termin nicht erhoben.</w:t>
      </w:r>
    </w:p>
    <w:p>
      <w:pPr>
        <w:spacing w:before="160" w:after="0"/>
      </w:pPr>
      <w:r>
        <w:rPr>
          <w:b/>
        </w:rPr>
        <w:t>Wie läuft ein Auftrag heute durch – von der Anfrage bis zur Rechnung?</w:t>
      </w:r>
      <w:r>
        <w:rPr>
          <w:i/>
          <w:color w:val="7F7F7F"/>
          <w:sz w:val="18"/>
        </w:rPr>
        <w:t xml:space="preserve">  (Inspektion, Beratung, Schulung im Vergleich)</w:t>
      </w:r>
    </w:p>
    <w:p>
      <w:pPr>
        <w:spacing w:before="20" w:after="20"/>
        <w:ind w:left="397"/>
      </w:pPr>
      <w:r>
        <w:t>– Auftrag geht ein.</w:t>
      </w:r>
    </w:p>
    <w:p>
      <w:pPr>
        <w:spacing w:before="20" w:after="20"/>
        <w:ind w:left="397"/>
      </w:pPr>
      <w:r>
        <w:t>– Anlagenliste wird in der kleinen Software erstellt und in Papierform ausgedruckt.</w:t>
      </w:r>
    </w:p>
    <w:p>
      <w:pPr>
        <w:spacing w:before="20" w:after="20"/>
        <w:ind w:left="397"/>
      </w:pPr>
      <w:r>
        <w:t>– Im Labor wird gemäß diesem Dokument gearbeitet; Proben werden genommen.</w:t>
      </w:r>
    </w:p>
    <w:p>
      <w:pPr>
        <w:spacing w:before="20" w:after="20"/>
        <w:ind w:left="397"/>
      </w:pPr>
      <w:r>
        <w:t>– Proben werden nach Gütersloh gebracht.</w:t>
      </w:r>
    </w:p>
    <w:p>
      <w:pPr>
        <w:spacing w:before="20" w:after="20"/>
        <w:ind w:left="397"/>
      </w:pPr>
      <w:r>
        <w:t>– Bebrütung; Auszählung nach 3 oder 5 Tagen.</w:t>
      </w:r>
    </w:p>
    <w:p>
      <w:pPr>
        <w:spacing w:before="20" w:after="20"/>
        <w:ind w:left="397"/>
      </w:pPr>
      <w:r>
        <w:t>– Auszählung, Fotos, Bild am Datensatz hinterlegen.</w:t>
      </w:r>
    </w:p>
    <w:p>
      <w:pPr>
        <w:spacing w:before="20" w:after="20"/>
        <w:ind w:left="397"/>
      </w:pPr>
      <w:r>
        <w:t>– Gutachtenprogramm erstellt den Bericht; Ablage in OneDrive.</w:t>
      </w:r>
    </w:p>
    <w:p>
      <w:pPr>
        <w:spacing w:before="20" w:after="20"/>
        <w:ind w:left="397"/>
      </w:pPr>
      <w:r>
        <w:t>– Nach Sichtung durch das Labor werden die Proben autoklaviert und entsorgt.</w:t>
      </w:r>
    </w:p>
    <w:p>
      <w:pPr>
        <w:spacing w:before="20" w:after="20"/>
        <w:ind w:left="397"/>
      </w:pPr>
      <w:r>
        <w:t>– Ist das Gutachten fertig, wird eine Info erzeugt und die Rechnung gestellt.</w:t>
      </w:r>
    </w:p>
    <w:p>
      <w:pPr>
        <w:spacing w:before="160" w:after="0"/>
      </w:pPr>
      <w:r>
        <w:rPr>
          <w:b/>
        </w:rPr>
        <w:t>Welche Daten liegen vor – und in welcher Qualität?</w:t>
      </w:r>
      <w:r>
        <w:rPr>
          <w:i/>
          <w:color w:val="7F7F7F"/>
          <w:sz w:val="18"/>
        </w:rPr>
        <w:t xml:space="preserve">  (Kunden, Anlagen/Objekte, Prüfberichte, Vorlagen, Kurskatalog)</w:t>
      </w:r>
    </w:p>
    <w:p>
      <w:pPr>
        <w:spacing w:before="20" w:after="20"/>
        <w:ind w:left="397"/>
      </w:pPr>
      <w:r>
        <w:t>– Im Termin nicht systematisch erhoben.</w:t>
      </w:r>
    </w:p>
    <w:p>
      <w:pPr>
        <w:spacing w:before="20" w:after="20"/>
        <w:ind w:left="397"/>
      </w:pPr>
      <w:r>
        <w:t>– Anzufordern: Anlagenlisten, Gutachten- und Berichtsvorlagen, Kurskatalog, Artikel- und Kundenstamm aus der Delphi-Applikation.</w:t>
      </w:r>
    </w:p>
    <w:p>
      <w:pPr>
        <w:spacing w:before="160" w:after="0"/>
      </w:pPr>
      <w:r>
        <w:rPr>
          <w:b/>
        </w:rPr>
        <w:t>Wie arbeiten die Prüfer vor Ort?</w:t>
      </w:r>
      <w:r>
        <w:rPr>
          <w:i/>
          <w:color w:val="7F7F7F"/>
          <w:sz w:val="18"/>
        </w:rPr>
        <w:t xml:space="preserve">  (mobil/offline, Checklisten, Fotos, Unterschriften, Berichtserstellung)</w:t>
      </w:r>
    </w:p>
    <w:p>
      <w:pPr>
        <w:spacing w:before="20" w:after="20"/>
        <w:ind w:left="397"/>
      </w:pPr>
      <w:r>
        <w:t>– Fotos müssen direkt vor Ort per Smartphone möglich sein – im Einsatz sind Google Pixel 8.</w:t>
      </w:r>
    </w:p>
    <w:p>
      <w:pPr>
        <w:spacing w:before="20" w:after="20"/>
        <w:ind w:left="397"/>
      </w:pPr>
      <w:r>
        <w:t>– Fotos werden am Datensatz bzw. an der Anlage hinterlegt.</w:t>
      </w:r>
    </w:p>
    <w:p>
      <w:pPr>
        <w:spacing w:before="160" w:after="0"/>
      </w:pPr>
      <w:r>
        <w:rPr>
          <w:b/>
        </w:rPr>
        <w:t>Welche Systeme müssen bleiben und angebunden werden – was darf Odoo ersetzen?</w:t>
      </w:r>
    </w:p>
    <w:p>
      <w:pPr>
        <w:spacing w:before="20" w:after="20"/>
        <w:ind w:left="397"/>
      </w:pPr>
      <w:r>
        <w:t>– Ablösekandidaten: Delphi-Applikation, Gutachtenprogramm, Zusatzsoftware für die Anlagenliste.</w:t>
      </w:r>
    </w:p>
    <w:p>
      <w:pPr>
        <w:spacing w:before="20" w:after="20"/>
        <w:ind w:left="397"/>
      </w:pPr>
      <w:r>
        <w:t>– Bindende Randbedingung: Layout der erzeugten Dokumente bleibt unverändert.</w:t>
      </w:r>
    </w:p>
    <w:p>
      <w:pPr>
        <w:spacing w:before="20" w:after="20"/>
        <w:ind w:left="397"/>
      </w:pPr>
      <w:r>
        <w:t>– Offen: Welche Schnittstellen die Delphi-Applikation bedient und ob OneDrive als Ablage bestehen bleibt.</w:t>
      </w:r>
    </w:p>
    <w:p>
      <w:pPr>
        <w:spacing w:before="280" w:after="0"/>
      </w:pPr>
      <w:r>
        <w:rPr>
          <w:rFonts w:ascii="Calibri" w:hAnsi="Calibri"/>
          <w:b/>
          <w:color w:val="7F7F7F"/>
          <w:sz w:val="15"/>
        </w:rPr>
        <w:t>ERGÄNZUNG AUS DEM TERMIN</w:t>
      </w:r>
    </w:p>
    <w:p>
      <w:pPr>
        <w:spacing w:before="4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4b · Laborprozess &amp; Mengen</w:t>
      </w:r>
    </w:p>
    <w:p>
      <w:pPr>
        <w:spacing w:before="160" w:after="0"/>
      </w:pPr>
      <w:r>
        <w:rPr>
          <w:b/>
        </w:rPr>
        <w:t>Analytik</w:t>
      </w:r>
    </w:p>
    <w:p>
      <w:pPr>
        <w:spacing w:before="20" w:after="20"/>
        <w:ind w:left="397"/>
      </w:pPr>
      <w:r>
        <w:t>– Proben kommen ins Labor und werden mikrobiologisch aufbereitet.</w:t>
      </w:r>
    </w:p>
    <w:p>
      <w:pPr>
        <w:spacing w:before="20" w:after="20"/>
        <w:ind w:left="397"/>
      </w:pPr>
      <w:r>
        <w:t>– Bestimmt wird die Keimzahl auf zwei Medien: Gesamtkeimzahl und Pilze.</w:t>
      </w:r>
    </w:p>
    <w:p>
      <w:pPr>
        <w:spacing w:before="20" w:after="20"/>
        <w:ind w:left="397"/>
      </w:pPr>
      <w:r>
        <w:t>– Keine große Bandbreite unterschiedlicher Analysetechniken.</w:t>
      </w:r>
    </w:p>
    <w:p>
      <w:pPr>
        <w:spacing w:before="160" w:after="0"/>
      </w:pPr>
      <w:r>
        <w:rPr>
          <w:b/>
        </w:rPr>
        <w:t>Bebrütung &amp; Entsorgung</w:t>
      </w:r>
    </w:p>
    <w:p>
      <w:pPr>
        <w:spacing w:before="20" w:after="20"/>
        <w:ind w:left="397"/>
      </w:pPr>
      <w:r>
        <w:t>– Proben liegen im Brutschrank und werden nach 3 oder 5 Tagen ausgezählt.</w:t>
      </w:r>
    </w:p>
    <w:p>
      <w:pPr>
        <w:spacing w:before="20" w:after="20"/>
        <w:ind w:left="397"/>
      </w:pPr>
      <w:r>
        <w:t>– Nach Sichtung durch das Labor werden die Proben autoklaviert und entsorgt.</w:t>
      </w:r>
    </w:p>
    <w:p>
      <w:pPr>
        <w:spacing w:before="160" w:after="0"/>
      </w:pPr>
      <w:r>
        <w:rPr>
          <w:b/>
        </w:rPr>
        <w:t>Mengengerüst</w:t>
      </w:r>
    </w:p>
    <w:p>
      <w:pPr>
        <w:spacing w:before="20" w:after="20"/>
        <w:ind w:left="397"/>
      </w:pPr>
      <w:r>
        <w:t>– Bei voller Auslastung 100 Anlagen pro Woche.</w:t>
      </w:r>
    </w:p>
    <w:p>
      <w:pPr>
        <w:spacing w:before="20" w:after="20"/>
        <w:ind w:left="397"/>
      </w:pPr>
      <w:r>
        <w:t>– 8–9 Platten je Anlage.</w:t>
      </w:r>
    </w:p>
    <w:p>
      <w:pPr>
        <w:spacing w:before="20" w:after="20"/>
        <w:ind w:left="397"/>
      </w:pPr>
      <w:r>
        <w:t>– Ergibt rund 800–900 Platten pro Woche. Im Termin wurde „9.000“ notiert – die Zahl ist zu verifizieren (Woche, Monat oder Jahr?).</w:t>
      </w:r>
    </w:p>
    <w:p>
      <w:pPr>
        <w:spacing w:before="280" w:after="0"/>
      </w:pPr>
      <w:r>
        <w:rPr>
          <w:rFonts w:ascii="Calibri" w:hAnsi="Calibri"/>
          <w:b/>
          <w:color w:val="7F7F7F"/>
          <w:sz w:val="15"/>
        </w:rPr>
        <w:t>ERGÄNZUNG AUS DEM TERMIN</w:t>
      </w:r>
    </w:p>
    <w:p>
      <w:pPr>
        <w:spacing w:before="4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4c · Schulungsgeschäft</w:t>
      </w:r>
    </w:p>
    <w:p>
      <w:pPr>
        <w:spacing w:before="20" w:after="20"/>
        <w:ind w:left="397"/>
      </w:pPr>
      <w:r>
        <w:t>– Schulungen werden bundesweit beworben.</w:t>
      </w:r>
    </w:p>
    <w:p>
      <w:pPr>
        <w:spacing w:before="20" w:after="20"/>
        <w:ind w:left="397"/>
      </w:pPr>
      <w:r>
        <w:t>– Eine Schulung findet statt, wenn mehr als 10 Teilnehmer zusammenkommen.</w:t>
      </w:r>
    </w:p>
    <w:p>
      <w:pPr>
        <w:spacing w:before="20" w:after="20"/>
        <w:ind w:left="397"/>
      </w:pPr>
      <w:r>
        <w:t>– Zielgruppe: Großkonzerne und Industrieparks – für diese ist es eine Pflichtschulung.</w:t>
      </w:r>
    </w:p>
    <w:p>
      <w:pPr>
        <w:spacing w:before="20" w:after="20"/>
        <w:ind w:left="397"/>
      </w:pPr>
      <w:r>
        <w:t>– VDI-Schulungen werden lange vorgeplant; die Seminarfläche wird 6 Monate im Voraus gebucht.</w:t>
      </w:r>
    </w:p>
    <w:p>
      <w:pPr>
        <w:spacing w:before="20" w:after="20"/>
        <w:ind w:left="397"/>
      </w:pPr>
      <w:r>
        <w:t>– Inhouse-Schulungen beim Kunden gehören ebenfalls zum Angebot.</w:t>
      </w:r>
    </w:p>
    <w:p>
      <w:pPr>
        <w:spacing w:before="20" w:after="20"/>
        <w:ind w:left="397"/>
      </w:pPr>
      <w:r>
        <w:t>– Dozenten: 3 intern und 2 extern, insgesamt 5. Ein zweites Team soll aufgebaut werden.</w:t>
      </w:r>
    </w:p>
    <w:p>
      <w:pPr>
        <w:spacing w:before="280" w:after="0"/>
      </w:pPr>
      <w:r>
        <w:rPr>
          <w:rFonts w:ascii="Calibri" w:hAnsi="Calibri"/>
          <w:b/>
          <w:color w:val="7F7F7F"/>
          <w:sz w:val="15"/>
        </w:rPr>
        <w:t>ERGÄNZUNG AUS DEM TERMIN</w:t>
      </w:r>
    </w:p>
    <w:p>
      <w:pPr>
        <w:spacing w:before="4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4d · Produktion, Handelsware &amp; Lager</w:t>
      </w:r>
    </w:p>
    <w:p>
      <w:pPr>
        <w:spacing w:before="20" w:after="20"/>
        <w:ind w:left="397"/>
      </w:pPr>
      <w:r>
        <w:t>– In der biotec wird nur minimal produziert – einige Chemikalien.</w:t>
      </w:r>
    </w:p>
    <w:p>
      <w:pPr>
        <w:spacing w:before="20" w:after="20"/>
        <w:ind w:left="397"/>
      </w:pPr>
      <w:r>
        <w:t>– Händlerprodukte: 5–6 Artikel.</w:t>
      </w:r>
    </w:p>
    <w:p>
      <w:pPr>
        <w:spacing w:before="20" w:after="20"/>
        <w:ind w:left="397"/>
      </w:pPr>
      <w:r>
        <w:t>– Lager: 2–3 Brutreaktoren (Begriff zu prüfen), Greiner-Röhrchen mit Chemikalien.</w:t>
      </w:r>
    </w:p>
    <w:p>
      <w:pPr>
        <w:spacing w:before="20" w:after="20"/>
        <w:ind w:left="397"/>
      </w:pPr>
      <w:r>
        <w:t>– Verbrauchsmaterial auf Lager: Gelatinefilter im Wert von rund 15.000 €.</w:t>
      </w:r>
    </w:p>
    <w:p>
      <w:r>
        <w:br w:type="page"/>
      </w:r>
    </w:p>
    <w:p>
      <w:pPr>
        <w:spacing w:before="280" w:after="0"/>
      </w:pPr>
      <w:r>
        <w:rPr>
          <w:rFonts w:ascii="Calibri" w:hAnsi="Calibri"/>
          <w:b/>
          <w:color w:val="7F7F7F"/>
          <w:sz w:val="15"/>
        </w:rPr>
        <w:t>DECK-FOLIE „ODOO-APPS FÜR BIOTEC“</w:t>
      </w:r>
    </w:p>
    <w:p>
      <w:pPr>
        <w:spacing w:before="4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5 · App-Hypothese validieren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Odoo-App</w:t>
            </w:r>
          </w:p>
        </w:tc>
        <w:tc>
          <w:tcPr>
            <w:tcW w:type="dxa" w:w="3061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Zweck (Hypothese)</w:t>
            </w:r>
          </w:p>
        </w:tc>
        <w:tc>
          <w:tcPr>
            <w:tcW w:type="dxa" w:w="1474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Relevant?</w:t>
            </w:r>
          </w:p>
        </w:tc>
        <w:tc>
          <w:tcPr>
            <w:tcW w:type="dxa" w:w="3061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Anmerkung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9"/>
              </w:rPr>
              <w:t>CRM &amp; Verkauf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  <w:t>Anfragen, Angebote &amp; Aufträge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9"/>
              </w:rPr>
              <w:t>☒ ja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  <w:t>Auftragseingang startet den Laborprozess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9"/>
              </w:rPr>
              <w:t>Rechnungsstellung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  <w:t>Rechnungen &amp; Zahlungen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9"/>
              </w:rPr>
              <w:t>☒ ja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  <w:t>Rechnung nach Fertigstellung des Gutachtens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9"/>
              </w:rPr>
              <w:t>Einkauf &amp; Lager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  <w:t>Labor- &amp; Prüfmaterial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9"/>
              </w:rPr>
              <w:t>☒ ja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  <w:t>Gelatinefilter ca. 15 T€, Greiner-Röhrchen, 5–6 Händlerprodukte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9"/>
              </w:rPr>
              <w:t>Außendienst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  <w:t>Einsatzplanung &amp; Prüfberichte vor Ort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9"/>
              </w:rPr>
              <w:t>☒ ja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  <w:t>Hygienekontrollen vor Ort; Fotos per Pixel 8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9"/>
              </w:rPr>
              <w:t>Projekte &amp; Zeiterfassung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  <w:t>Beratungsaufträge &amp; Gutachten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9"/>
              </w:rPr>
              <w:t>☐ offen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  <w:t>im Termin nicht vertieft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9"/>
              </w:rPr>
              <w:t>Veranstaltungen &amp; E-Learning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  <w:t>VDI-Schulungen inkl. Online-Buchung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9"/>
              </w:rPr>
              <w:t>☒ ja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  <w:t>Mindestteilnehmerzahl 10; Vorplanung 6 Monate; 5 Dozenten; Inhouse-Schulungen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9"/>
              </w:rPr>
              <w:t>Abonnements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  <w:t>Wiederkehrende Prüfintervalle &amp; Verträge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9"/>
              </w:rPr>
              <w:t>☐ offen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  <w:t>wiederkehrende Intervalle nicht besprochen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9"/>
              </w:rPr>
              <w:t>Qualität &amp; Dokumente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  <w:t>Proben, Berichte &amp; Nachweise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9"/>
              </w:rPr>
              <w:t>☒ ja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  <w:t>Proben, Platten, Fotos, Gutachten; Dokumentenlayout ist bindend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9"/>
              </w:rPr>
              <w:t>Buchhaltung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  <w:t>Finanzbuchhaltung, DATEV-Anbindung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9"/>
              </w:rPr>
              <w:t>☐ offen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  <w:t>heutiges Buchhaltungssystem nicht erhoben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9"/>
              </w:rPr>
              <w:t>Produktion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  <w:t>vorher nicht eingeplant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9"/>
              </w:rPr>
              <w:t>☒ ja, minimal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  <w:t>geringe Eigenproduktion einiger Chemikalien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9"/>
              </w:rPr>
              <w:t>Website / E-Commerce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  <w:t>vorher nicht eingeplant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9"/>
              </w:rPr>
              <w:t>☐ offen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  <w:t>Kurse werden bundesweit beworben – Buchungsweg zu klären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9"/>
              </w:rPr>
              <w:t>Mehrgesellschaft / Multi-Company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  <w:t>zwei Standorte abbilden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9"/>
              </w:rPr>
              <w:t>☒ ja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  <w:t>Gütersloh und München; Struktur und Konsolidierung zu klären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9"/>
              </w:rPr>
              <w:t>Labor-/LIMS-Funktionen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  <w:t>Ersatz für das Gutachtenprogramm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9"/>
              </w:rPr>
              <w:t>☐ zu prüfen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  <w:t>Auszählung, Fotodokumentation, Berichtserzeugung mit festem Layout</w:t>
            </w:r>
          </w:p>
        </w:tc>
      </w:tr>
    </w:tbl>
    <w:p>
      <w:pPr>
        <w:spacing w:before="280" w:after="0"/>
      </w:pPr>
      <w:r>
        <w:rPr>
          <w:rFonts w:ascii="Calibri" w:hAnsi="Calibri"/>
          <w:b/>
          <w:color w:val="7F7F7F"/>
          <w:sz w:val="15"/>
        </w:rPr>
        <w:t>ERGÄNZUNG ZUM DECK</w:t>
      </w:r>
    </w:p>
    <w:p>
      <w:pPr>
        <w:spacing w:before="4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6 · Anforderungen Finance / Certania-Gruppe</w:t>
      </w:r>
    </w:p>
    <w:p>
      <w:pPr>
        <w:spacing w:after="40"/>
      </w:pPr>
      <w:r>
        <w:rPr>
          <w:i/>
          <w:color w:val="7F7F7F"/>
          <w:sz w:val="18"/>
        </w:rPr>
        <w:t>Aus dem Gruppen-Strang (Jeannette Bühler, Head of Group Accounting): vollintegriertes P2P/O2C und POC-/WIP-Bewertung. Klären, ob das zum Scope gehört.</w:t>
      </w:r>
    </w:p>
    <w:p>
      <w:pPr>
        <w:spacing w:before="160" w:after="0"/>
      </w:pPr>
      <w:r>
        <w:rPr>
          <w:b/>
        </w:rPr>
        <w:t>Gehören die Gruppenanforderungen (P2P/O2C, POC/WIP) zum biotec-Projekt – oder separat?</w:t>
      </w:r>
    </w:p>
    <w:p>
      <w:pPr>
        <w:spacing w:before="20"/>
        <w:ind w:left="397"/>
      </w:pPr>
      <w:r>
        <w:rPr>
          <w:i/>
          <w:color w:val="B04A00"/>
        </w:rPr>
        <w:t>– Im Termin nicht beantwortet – offen.</w:t>
      </w:r>
    </w:p>
    <w:p>
      <w:pPr>
        <w:spacing w:before="160" w:after="0"/>
      </w:pPr>
      <w:r>
        <w:rPr>
          <w:b/>
        </w:rPr>
        <w:t>Welche Anforderungen bestehen an das Reporting Package der Gruppe?</w:t>
      </w:r>
      <w:r>
        <w:rPr>
          <w:i/>
          <w:color w:val="7F7F7F"/>
          <w:sz w:val="18"/>
        </w:rPr>
        <w:t xml:space="preserve">  (Inhalte, Frequenz, Empfänger, Format)</w:t>
      </w:r>
    </w:p>
    <w:p>
      <w:pPr>
        <w:spacing w:before="20"/>
        <w:ind w:left="397"/>
      </w:pPr>
      <w:r>
        <w:rPr>
          <w:i/>
          <w:color w:val="B04A00"/>
        </w:rPr>
        <w:t>– Im Termin nicht beantwortet – offen.</w:t>
      </w:r>
    </w:p>
    <w:p>
      <w:pPr>
        <w:spacing w:before="160" w:after="0"/>
      </w:pPr>
      <w:r>
        <w:rPr>
          <w:b/>
        </w:rPr>
        <w:t>Laufen mehrjährige/mehrmonatige Projekte, die nach Fertigstellungsgrad bewertet werden?</w:t>
      </w:r>
      <w:r>
        <w:rPr>
          <w:i/>
          <w:color w:val="7F7F7F"/>
          <w:sz w:val="18"/>
        </w:rPr>
        <w:t xml:space="preserve">  (Festpreis, Meilensteinabrechnung, Fremdlabor)</w:t>
      </w:r>
    </w:p>
    <w:p>
      <w:pPr>
        <w:spacing w:before="20"/>
        <w:ind w:left="397"/>
      </w:pPr>
      <w:r>
        <w:rPr>
          <w:i/>
          <w:color w:val="B04A00"/>
        </w:rPr>
        <w:t>– Im Termin nicht beantwortet – offen.</w:t>
      </w:r>
    </w:p>
    <w:p>
      <w:pPr>
        <w:spacing w:before="160" w:after="0"/>
      </w:pPr>
      <w:r>
        <w:rPr>
          <w:b/>
        </w:rPr>
        <w:t>Bilanzierung nach HGB, IFRS oder beidem? Wer ist Steuerberater / Wirtschaftsprüfer?</w:t>
      </w:r>
    </w:p>
    <w:p>
      <w:pPr>
        <w:spacing w:before="20"/>
        <w:ind w:left="397"/>
      </w:pPr>
      <w:r>
        <w:rPr>
          <w:i/>
          <w:color w:val="B04A00"/>
        </w:rPr>
        <w:t>– Im Termin nicht beantwortet – offen.</w:t>
      </w:r>
    </w:p>
    <w:p>
      <w:pPr>
        <w:spacing w:before="280" w:after="0"/>
      </w:pPr>
      <w:r>
        <w:rPr>
          <w:rFonts w:ascii="Calibri" w:hAnsi="Calibri"/>
          <w:b/>
          <w:color w:val="7F7F7F"/>
          <w:sz w:val="15"/>
        </w:rPr>
        <w:t>DISCOVERY 3/3</w:t>
      </w:r>
    </w:p>
    <w:p>
      <w:pPr>
        <w:spacing w:before="4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7 · Team, Zeitrahmen &amp; Budget</w:t>
      </w:r>
    </w:p>
    <w:p>
      <w:pPr>
        <w:spacing w:before="160" w:after="0"/>
      </w:pPr>
      <w:r>
        <w:rPr>
          <w:b/>
        </w:rPr>
        <w:t>Wer wäre Ihr Hauptansprechpartner für die Iterationen?</w:t>
      </w:r>
      <w:r>
        <w:rPr>
          <w:i/>
          <w:color w:val="7F7F7F"/>
          <w:sz w:val="18"/>
        </w:rPr>
        <w:t xml:space="preserve">  (stimmt Feedbackrunden ab, schult später intern)</w:t>
      </w:r>
    </w:p>
    <w:p>
      <w:pPr>
        <w:spacing w:before="20" w:after="20"/>
        <w:ind w:left="397"/>
      </w:pPr>
      <w:r>
        <w:t>– Nicht formell benannt. Nach Rollenlage ist Michael Brand der naheliegende Kandidat: Projektleiter Hygieneinspektion und ausdrücklich „Begleiter des ERP-Systems“.</w:t>
      </w:r>
    </w:p>
    <w:p>
      <w:pPr>
        <w:spacing w:before="20" w:after="20"/>
        <w:ind w:left="397"/>
      </w:pPr>
      <w:r>
        <w:t>– Namentlich für die Vor-Ort-Schulung vorgesehen: Stefan, Michael Brand, Markus (+ eine weitere Person).</w:t>
      </w:r>
    </w:p>
    <w:p>
      <w:pPr>
        <w:spacing w:before="20" w:after="20"/>
        <w:ind w:left="397"/>
      </w:pPr>
      <w:r>
        <w:t>– Fachliche Breite für die Validierung: Melanie Frank (Labor und übergeordnete Prozesse), Nicole Krupa (Rechnungen, Schulungen, Werbung), Annette Krupa (Buchhaltung), mw@westbomke.com (IT-Administration).</w:t>
      </w:r>
    </w:p>
    <w:p>
      <w:pPr>
        <w:spacing w:before="160" w:after="0"/>
      </w:pPr>
      <w:r>
        <w:rPr>
          <w:b/>
        </w:rPr>
        <w:t>Wie viel Zeit kann diese Person pro Woche realistisch einbringen?</w:t>
      </w:r>
      <w:r>
        <w:rPr>
          <w:i/>
          <w:color w:val="7F7F7F"/>
          <w:sz w:val="18"/>
        </w:rPr>
        <w:t xml:space="preserve">  (Richtwert: wenige Stunden für Demos &amp; Freigaben)</w:t>
      </w:r>
    </w:p>
    <w:p>
      <w:pPr>
        <w:spacing w:before="20"/>
        <w:ind w:left="397"/>
      </w:pPr>
      <w:r>
        <w:rPr>
          <w:i/>
          <w:color w:val="B04A00"/>
        </w:rPr>
        <w:t>– Im Termin nicht beantwortet – offen.</w:t>
      </w:r>
    </w:p>
    <w:p>
      <w:pPr>
        <w:spacing w:before="160" w:after="0"/>
      </w:pPr>
      <w:r>
        <w:rPr>
          <w:b/>
        </w:rPr>
        <w:t>Wie viele Mitarbeiter würden mit Odoo arbeiten?</w:t>
      </w:r>
      <w:r>
        <w:rPr>
          <w:i/>
          <w:color w:val="7F7F7F"/>
          <w:sz w:val="18"/>
        </w:rPr>
        <w:t xml:space="preserve">  (Innendienst, Prüfer, Labor, Verwaltung)</w:t>
      </w:r>
    </w:p>
    <w:p>
      <w:pPr>
        <w:spacing w:before="20" w:after="20"/>
        <w:ind w:left="397"/>
      </w:pPr>
      <w:r>
        <w:t>– Grobe Einordnung aus dem Termin: „ERP für eine kleine Gesellschaft“.</w:t>
      </w:r>
    </w:p>
    <w:p>
      <w:pPr>
        <w:spacing w:before="20" w:after="20"/>
        <w:ind w:left="397"/>
      </w:pPr>
      <w:r>
        <w:t>– Bekannte Teams: München 3 Personen (Hygienekontrollen), Analytik Boden/Wasser 2–3 Personen, Dozenten 5 (3 intern, 2 extern), Gütersloh mit Labor und Verwaltung.</w:t>
      </w:r>
    </w:p>
    <w:p>
      <w:pPr>
        <w:spacing w:before="20" w:after="20"/>
        <w:ind w:left="397"/>
      </w:pPr>
      <w:r>
        <w:t>– Gesamtzahl der Odoo-Nutzer noch zu erheben.</w:t>
      </w:r>
    </w:p>
    <w:p>
      <w:pPr>
        <w:spacing w:before="160" w:after="0"/>
      </w:pPr>
      <w:r>
        <w:rPr>
          <w:b/>
        </w:rPr>
        <w:t>Gibt es einen Wunschtermin für den Go-live – und was treibt ihn?</w:t>
      </w:r>
    </w:p>
    <w:p>
      <w:pPr>
        <w:spacing w:before="20"/>
        <w:ind w:left="397"/>
      </w:pPr>
      <w:r>
        <w:rPr>
          <w:i/>
          <w:color w:val="B04A00"/>
        </w:rPr>
        <w:t>– Im Termin nicht beantwortet – offen.</w:t>
      </w:r>
    </w:p>
    <w:p>
      <w:pPr>
        <w:spacing w:before="160" w:after="0"/>
      </w:pPr>
      <w:r>
        <w:rPr>
          <w:b/>
        </w:rPr>
        <w:t>In welchem Budgetrahmen bewegen wir uns – und wer entscheidet?</w:t>
      </w:r>
      <w:r>
        <w:rPr>
          <w:i/>
          <w:color w:val="7F7F7F"/>
          <w:sz w:val="18"/>
        </w:rPr>
        <w:t xml:space="preserve">  (Basis für Scoping &amp; Phasierung, keine Festlegung heute)</w:t>
      </w:r>
    </w:p>
    <w:p>
      <w:pPr>
        <w:spacing w:before="20"/>
        <w:ind w:left="397"/>
      </w:pPr>
      <w:r>
        <w:rPr>
          <w:i/>
          <w:color w:val="B04A00"/>
        </w:rPr>
        <w:t>– Im Termin nicht beantwortet – offen.</w:t>
      </w:r>
    </w:p>
    <w:p>
      <w:pPr>
        <w:spacing w:before="280" w:after="0"/>
      </w:pPr>
      <w:r>
        <w:rPr>
          <w:rFonts w:ascii="Calibri" w:hAnsi="Calibri"/>
          <w:b/>
          <w:color w:val="7F7F7F"/>
          <w:sz w:val="15"/>
        </w:rPr>
        <w:t>DECK-FOLIE „NÄCHSTE SCHRITTE“</w:t>
      </w:r>
    </w:p>
    <w:p>
      <w:pPr>
        <w:spacing w:before="4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8 · Nächste Schritte &amp; Aufgaben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Nr.</w:t>
            </w:r>
          </w:p>
        </w:tc>
        <w:tc>
          <w:tcPr>
            <w:tcW w:type="dxa" w:w="4535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Aufgabe</w:t>
            </w:r>
          </w:p>
        </w:tc>
        <w:tc>
          <w:tcPr>
            <w:tcW w:type="dxa" w:w="1701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Wer</w:t>
            </w:r>
          </w:p>
        </w:tc>
        <w:tc>
          <w:tcPr>
            <w:tcW w:type="dxa" w:w="1361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Termin</w:t>
            </w:r>
          </w:p>
        </w:tc>
        <w:tc>
          <w:tcPr>
            <w:tcW w:type="dxa" w:w="1361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9"/>
              </w:rPr>
              <w:t>Protokoll &amp; Zusammenfassung des Discovery Calls versenden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  <w:t>CertoClav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9"/>
              </w:rPr>
              <w:t>☐ offen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9"/>
              </w:rPr>
              <w:t>Rohdaten bereitstellen: Anlagenlisten, Kunden-/Artikelstamm, Kurskatalog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  <w:t>biotec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9"/>
              </w:rPr>
              <w:t>☐ offen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9"/>
              </w:rPr>
              <w:t>Gutachten- und Berichtsvorlagen als Muster bereitstellen (Layout ist bindend)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  <w:t>biotec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9"/>
              </w:rPr>
              <w:t>☐ offen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9"/>
              </w:rPr>
              <w:t>Delphi-Applikation: Exportmöglichkeiten und Schnittstellen dokumentieren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  <w:t>biotec / CertoClav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9"/>
              </w:rPr>
              <w:t>☐ offen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9"/>
              </w:rPr>
              <w:t>Anzahl und Namen der vor Ort zu schulenden Personen bestätigen (3 oder 4)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  <w:t>biotec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9"/>
              </w:rPr>
              <w:t>☐ offen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9"/>
              </w:rPr>
              <w:t>Hauptansprechpartner für die Iterationen benennen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  <w:t>biotec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9"/>
              </w:rPr>
              <w:t>☐ offen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9"/>
              </w:rPr>
              <w:t>Scoping &amp; Angebot – inkl. Vor-Ort-Schulung statt Train-the-Trainer, Multi-Company und Layouttreue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  <w:t>CertoClav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9"/>
              </w:rPr>
              <w:t>☐ offen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9"/>
              </w:rPr>
              <w:t>Klären, ob die Certania-Anforderungen (P2P/O2C, POC/WIP) zum Scope gehören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  <w:t>CertoClav / Certania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9"/>
              </w:rPr>
              <w:t>☐ offen</w:t>
            </w:r>
          </w:p>
        </w:tc>
      </w:tr>
    </w:tbl>
    <w:p>
      <w:pPr>
        <w:spacing w:before="28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9 · Offene Punkte &amp; Risiken</w:t>
      </w:r>
    </w:p>
    <w:p>
      <w:pPr>
        <w:spacing w:after="40"/>
      </w:pPr>
      <w:r>
        <w:rPr>
          <w:i/>
          <w:color w:val="7F7F7F"/>
          <w:sz w:val="18"/>
        </w:rPr>
        <w:t>Was im Termin nicht geklärt werden konnte – inkl. wer es klärt.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6236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Offener Punkt</w:t>
            </w:r>
          </w:p>
        </w:tc>
        <w:tc>
          <w:tcPr>
            <w:tcW w:type="dxa" w:w="1701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Klärt</w:t>
            </w:r>
          </w:p>
        </w:tc>
        <w:tc>
          <w:tcPr>
            <w:tcW w:type="dxa" w:w="1701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Bis</w:t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>
              <w:rPr>
                <w:sz w:val="19"/>
              </w:rPr>
              <w:t>Anzahl der vor Ort zu schulenden Personen: 3 oder 4? Vierter Name fehlt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  <w:t>biotec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>
              <w:rPr>
                <w:sz w:val="19"/>
              </w:rPr>
              <w:t>Plattenmenge: rund 900 oder 9.000 – und je Woche, Monat oder Jahr?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  <w:t>biotec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>
              <w:rPr>
                <w:sz w:val="19"/>
              </w:rPr>
              <w:t>„Walda Technologiepark“: eigener Standort oder Teil von München?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  <w:t>biotec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>
              <w:rPr>
                <w:sz w:val="19"/>
              </w:rPr>
              <w:t>Nachnamen und Funktionen von „Stefan“ und „Markus“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  <w:t>biotec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>
              <w:rPr>
                <w:sz w:val="19"/>
              </w:rPr>
              <w:t>biotec Süd: eigene Gesellschaft oder nur Standort? Konsolidierungsbedarf?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  <w:t>biotec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>
              <w:rPr>
                <w:sz w:val="19"/>
              </w:rPr>
              <w:t>Welche Schnittstellen bedient die Delphi-Applikation heute?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  <w:t>biotec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>
              <w:rPr>
                <w:sz w:val="19"/>
              </w:rPr>
              <w:t>Bleibt OneDrive die Dokumentenablage oder übernimmt Odoo Dokumente?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  <w:t>gemeinsam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>
              <w:rPr>
                <w:sz w:val="19"/>
              </w:rPr>
              <w:t>Heutiges Buchhaltungssystem und DATEV-Anbindung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  <w:t>biotec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>
              <w:rPr>
                <w:sz w:val="19"/>
              </w:rPr>
              <w:t>Michael Brand formell als Hauptansprechpartner bestätigen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  <w:t>biotec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>
              <w:rPr>
                <w:sz w:val="19"/>
              </w:rPr>
              <w:t>Nicole Krupa: „Biotec Stetic“ – welche Einheit ist gemeint?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  <w:t>biotec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>
              <w:rPr>
                <w:sz w:val="19"/>
              </w:rPr>
              <w:t>Westbomke: externer IT-Dienstleister oder eigene Abteilung? Rolle im Projekt (Zugänge, Schnittstellen, Delphi-Betreuung)?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  <w:t>biotec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before="280" w:after="0"/>
      </w:pPr>
      <w:r>
        <w:rPr>
          <w:rFonts w:ascii="Calibri" w:hAnsi="Calibri"/>
          <w:b/>
          <w:color w:val="7F7F7F"/>
          <w:sz w:val="15"/>
        </w:rPr>
        <w:t>NICHT TEIL DES KUNDENPROTOKOLLS</w:t>
      </w:r>
    </w:p>
    <w:p>
      <w:pPr>
        <w:spacing w:before="4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10 · Interne Notizen</w:t>
      </w:r>
    </w:p>
    <w:p>
      <w:pPr>
        <w:spacing w:after="40"/>
      </w:pPr>
      <w:r>
        <w:rPr>
          <w:i/>
          <w:color w:val="7F7F7F"/>
          <w:sz w:val="18"/>
        </w:rPr>
        <w:t>Einschätzung Machbarkeit, Aufwandstreiber, Stakeholder-Dynamik, Preisindikation. Vor dem Versand an den Kunden entfernen.</w:t>
      </w:r>
    </w:p>
    <w:p>
      <w:pPr>
        <w:spacing w:before="20" w:after="20"/>
        <w:ind w:left="397"/>
      </w:pPr>
      <w:r>
        <w:t>– Aufwandstreiber: (1) Layouttreue der Gutachten – Berichtsentwicklung in Odoo statt Standardvorlagen, (2) Ablösung der Delphi-Applikation samt unbekannter Schnittstellen, (3) Multi-Company für zwei Standorte, (4) Vor-Ort-Schulung von 3–4 Personen zusätzlich zum Einrichtungsaufwand.</w:t>
      </w:r>
    </w:p>
    <w:p>
      <w:pPr>
        <w:spacing w:before="20" w:after="20"/>
        <w:ind w:left="397"/>
      </w:pPr>
      <w:r>
        <w:t>– Der Wegfall von Train-the-Trainer verschiebt Aufwand vom Kunden zu CertoClav – die Erzählung „Umstellung in einer Woche“ ist damit nicht haltbar und sollte im Angebot nicht wiederholt werden.</w:t>
      </w:r>
    </w:p>
    <w:p>
      <w:pPr>
        <w:spacing w:before="20" w:after="20"/>
        <w:ind w:left="397"/>
      </w:pPr>
      <w:r>
        <w:t>– Der Laborprozess ist der eigentliche Kern: Anlagenliste, Probenverfolgung, Auszählung mit Fotodokumentation, Berichtserzeugung. Vor dem Angebot prüfen, wie weit Odoo Qualität/Dokumente das ohne Eigenentwicklung tragen.</w:t>
      </w:r>
    </w:p>
    <w:p>
      <w:pPr>
        <w:spacing w:before="20" w:after="20"/>
        <w:ind w:left="397"/>
      </w:pPr>
      <w:r>
        <w:t>– Das Schulungsgeschäft mit Mindestteilnehmerzahl und 6 Monaten Vorlauf ist ein guter Quick-Win-Kandidat (Odoo Veranstaltungen) und liefert früh sichtbaren Nutzen.</w:t>
      </w:r>
    </w:p>
    <w:p>
      <w:pPr>
        <w:spacing w:before="20" w:after="20"/>
        <w:ind w:left="397"/>
      </w:pPr>
      <w:r>
        <w:t>– Entscheiderlage: Dr. Thomas Wilke ist CEO biotec und gleichzeitig Direktor Food bei Certania – die Freigabe läuft über ihn, nicht über Dr. Bermpohl (Prokura). Moritz Gruber bleibt Initiator auf Gesellschafterebene.</w:t>
      </w:r>
    </w:p>
    <w:p>
      <w:pPr>
        <w:spacing w:before="20" w:after="20"/>
        <w:ind w:left="397"/>
      </w:pPr>
      <w:r>
        <w:t>– Westbomke betreut die IT-Administration. Für die Ablösung der Delphi-Applikation und die Schnittstellen ist das die entscheidende technische Gegenstelle – früh einbinden, statt erst in der Umsetzungsphase.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/>
    <w:r>
      <w:rPr>
        <w:color w:val="7F7F7F"/>
        <w:sz w:val="13"/>
      </w:rPr>
      <w:t>CertoClav Sterilizer GmbH  ·  Peintner Straße 10, 4060 Leonding, Österreich  ·  Geschäftsführer: Michael Simon (geb. Dirix), MSc.</w:t>
    </w:r>
  </w:p>
  <w:p>
    <w:pPr>
      <w:spacing w:after="0"/>
      <w:jc w:val="center"/>
    </w:pPr>
    <w:r>
      <w:rPr>
        <w:color w:val="7F7F7F"/>
        <w:sz w:val="13"/>
      </w:rPr>
      <w:t>Firmenbuch: Landesgericht Linz, FN 122912d  ·  UID ATU22821702  ·  Tel. +43 732 674 278  ·  support@certoclav.com  ·  www.certoclav.com</w:t>
    </w:r>
  </w:p>
  <w:p>
    <w:pPr>
      <w:spacing w:before="40"/>
      <w:jc w:val="center"/>
    </w:pPr>
    <w:r>
      <w:rPr>
        <w:color w:val="7F7F7F"/>
        <w:sz w:val="14"/>
      </w:rPr>
      <w:t xml:space="preserve">Seite </w:t>
    </w:r>
    <w:fldSimple w:instr="PAGE">
      <w:r>
        <w:t>1</w:t>
      </w:r>
    </w:fldSimple>
    <w:r>
      <w:rPr>
        <w:color w:val="7F7F7F"/>
        <w:sz w:val="14"/>
      </w:rPr>
      <w:t xml:space="preserve"> von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2" w:color="BFBFBF"/>
      </w:pBdr>
    </w:pPr>
    <w:r/>
    <w:r>
      <w:rPr>
        <w:b/>
        <w:color w:val="1F4E79"/>
        <w:sz w:val="16"/>
      </w:rPr>
      <w:t>CERTOCLAV CONSULTING</w:t>
    </w:r>
    <w:r>
      <w:rPr>
        <w:color w:val="7F7F7F"/>
        <w:sz w:val="16"/>
      </w:rPr>
      <w:tab/>
      <w:t>Protokoll Discovery Call  ·  Dok.-Nr. DISC-2026-001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