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4"/>
        </w:rPr>
        <w:t>Protokoll Discovery Call</w:t>
      </w:r>
    </w:p>
    <w:p>
      <w:pPr>
        <w:spacing w:after="280"/>
      </w:pPr>
      <w:r>
        <w:rPr>
          <w:color w:val="7F7F7F"/>
          <w:sz w:val="22"/>
        </w:rPr>
        <w:t>Odoo für die biotec GmbH  ·  Verstehen, wo Sie stehen – und prüfen, ob und wie Odoo Sie weiterbringt.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Feld</w:t>
            </w:r>
          </w:p>
        </w:tc>
        <w:tc>
          <w:tcPr>
            <w:tcW w:type="dxa" w:w="7087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Eintrag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sz w:val="19"/>
              </w:rPr>
              <w:t>Datum / Uhrzeit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sz w:val="19"/>
              </w:rPr>
              <w:t>Dauer (geplant 45–60 Min.)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sz w:val="19"/>
              </w:rPr>
              <w:t>Ort / Tool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sz w:val="19"/>
              </w:rPr>
              <w:t>Teilnehmer biotec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sz w:val="19"/>
              </w:rPr>
              <w:t>Teilnehmer CertoClav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sz w:val="19"/>
              </w:rPr>
              <w:t>Michael Simon (Consultant &amp; SPOC)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sz w:val="19"/>
              </w:rPr>
              <w:t>Weitere Teilnehmer (Certania)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sz w:val="19"/>
              </w:rPr>
              <w:t>Protokoll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sz w:val="19"/>
              </w:rPr>
              <w:t>Michael Simon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sz w:val="19"/>
              </w:rPr>
              <w:t>Aufzeichnung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sz w:val="19"/>
              </w:rPr>
              <w:t>☐ ja   ☐ nein   (Einverständnis eingeholt: ☐ ja  ☐ nein)</w:t>
            </w:r>
          </w:p>
        </w:tc>
      </w:tr>
    </w:tbl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ZUSAMMENFASSUNG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Kernaussagen des Gesprächs</w:t>
      </w:r>
    </w:p>
    <w:p>
      <w:pPr>
        <w:spacing w:after="40"/>
      </w:pPr>
      <w:r>
        <w:rPr>
          <w:i/>
          <w:color w:val="7F7F7F"/>
          <w:sz w:val="18"/>
        </w:rPr>
        <w:t>Drei bis fünf Sätze: Ausgangslage, wichtigste Erkenntnis, Einschätzung Machbarkeit.</w:t>
      </w: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AGENDA 01 – CA. 10 MIN.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1 · CertoClav &amp; unser Ansatz</w:t>
      </w:r>
    </w:p>
    <w:p>
      <w:pPr>
        <w:spacing w:after="40"/>
      </w:pPr>
      <w:r>
        <w:rPr>
          <w:i/>
          <w:color w:val="7F7F7F"/>
          <w:sz w:val="18"/>
        </w:rPr>
        <w:t>Vorgestellt: SPOC auf Beraterseite, Einrichtung + Datenimport durch CertoClav mit Claude, iterative Feedbackrunden, Train-the-Trainer.</w:t>
      </w:r>
    </w:p>
    <w:p>
      <w:pPr>
        <w:spacing w:before="160" w:after="0"/>
      </w:pPr>
      <w:r>
        <w:rPr>
          <w:b/>
        </w:rPr>
        <w:t>Reaktionen, Rückfragen, Bedenken zum Arbeitsmodell</w:t>
      </w:r>
      <w:r>
        <w:rPr>
          <w:i/>
          <w:color w:val="7F7F7F"/>
          <w:sz w:val="18"/>
        </w:rPr>
        <w:t xml:space="preserve">  (z. B. SPOC-Rolle, KI-Einsatz, Datenschutz, Verfügbarkeit)</w:t>
      </w: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DECK-FOLIE „WAS WIR ÜBER BIOTEC WISSEN“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2 · Firmenprofil-Check</w:t>
      </w:r>
    </w:p>
    <w:p>
      <w:pPr>
        <w:spacing w:after="40"/>
      </w:pPr>
      <w:r>
        <w:rPr>
          <w:i/>
          <w:color w:val="7F7F7F"/>
          <w:sz w:val="18"/>
        </w:rPr>
        <w:t>Unsere Annahmen aus biotec-gmbh.com – Korrekturen und Ergänzungen festhalten.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402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Annahme</w:t>
            </w:r>
          </w:p>
        </w:tc>
        <w:tc>
          <w:tcPr>
            <w:tcW w:type="dxa" w:w="1474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Bestätigt?</w:t>
            </w:r>
          </w:p>
        </w:tc>
        <w:tc>
          <w:tcPr>
            <w:tcW w:type="dxa" w:w="4762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Korrektur / Ergänzung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</w:rPr>
              <w:t>Bundesweites Hygieneinstitut, VDI-Schulungspartner (VDI 6022 / 2047)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☐ ja ☐ nein</w:t>
            </w:r>
          </w:p>
        </w:tc>
        <w:tc>
          <w:tcPr>
            <w:tcW w:type="dxa" w:w="4762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</w:rPr>
              <w:t>Inspektionen vor Ort: RLT-Anlagen, Verdunstungskühlanlagen, Luftentkeimung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☐ ja ☐ nein</w:t>
            </w:r>
          </w:p>
        </w:tc>
        <w:tc>
          <w:tcPr>
            <w:tcW w:type="dxa" w:w="4762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</w:rPr>
              <w:t>Beratung &amp; Gefährdungsbeurteilungen (Trinkwasser-, Krankenhaushygiene)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☐ ja ☐ nein</w:t>
            </w:r>
          </w:p>
        </w:tc>
        <w:tc>
          <w:tcPr>
            <w:tcW w:type="dxa" w:w="4762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</w:rPr>
              <w:t>Bundesweite VDI-Schulungen, Termine online buchbar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☐ ja ☐ nein</w:t>
            </w:r>
          </w:p>
        </w:tc>
        <w:tc>
          <w:tcPr>
            <w:tcW w:type="dxa" w:w="4762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</w:rPr>
              <w:t>Labor &amp; Forschung, Entwicklung neuer Analyseverfahren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☐ ja ☐ nein</w:t>
            </w:r>
          </w:p>
        </w:tc>
        <w:tc>
          <w:tcPr>
            <w:tcW w:type="dxa" w:w="4762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</w:rPr>
              <w:t>Standort Gütersloh (Elbrachtsweg 76, 33332)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☐ ja ☐ nein</w:t>
            </w:r>
          </w:p>
        </w:tc>
        <w:tc>
          <w:tcPr>
            <w:tcW w:type="dxa" w:w="4762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</w:tbl>
    <w:p>
      <w:pPr>
        <w:spacing w:before="160" w:after="0"/>
      </w:pPr>
      <w:r>
        <w:rPr>
          <w:b/>
        </w:rPr>
        <w:t>Was haben wir übersehen? Was ist am wichtigsten – was läuft heute schon gut?</w:t>
      </w: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DISCOVERY 1/3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3 · Schmerzpunkte &amp; Ziele</w:t>
      </w:r>
    </w:p>
    <w:p>
      <w:pPr>
        <w:spacing w:before="160" w:after="0"/>
      </w:pPr>
      <w:r>
        <w:rPr>
          <w:b/>
        </w:rPr>
        <w:t>Warum sprechen wir gerade jetzt über ein ERP?</w:t>
      </w: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60" w:after="0"/>
      </w:pPr>
      <w:r>
        <w:rPr>
          <w:b/>
        </w:rPr>
        <w:t>Was funktioniert heute nicht – oder nur mit viel Handarbeit?</w:t>
      </w:r>
      <w:r>
        <w:rPr>
          <w:i/>
          <w:color w:val="7F7F7F"/>
          <w:sz w:val="18"/>
        </w:rPr>
        <w:t xml:space="preserve">  (Doppelerfassung, Zettelwirtschaft, Excel-Inseln)</w:t>
      </w: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60" w:after="0"/>
      </w:pPr>
      <w:r>
        <w:rPr>
          <w:b/>
        </w:rPr>
        <w:t>Wo geht im Alltag am meisten Zeit verloren?</w:t>
      </w:r>
      <w:r>
        <w:rPr>
          <w:i/>
          <w:color w:val="7F7F7F"/>
          <w:sz w:val="18"/>
        </w:rPr>
        <w:t xml:space="preserve">  (Einsatzplanung, Berichte, Rechnungsstellung, Kursorganisation)</w:t>
      </w: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60" w:after="0"/>
      </w:pPr>
      <w:r>
        <w:rPr>
          <w:b/>
        </w:rPr>
        <w:t>Was ist der Auslöser, das jetzt anzugehen?</w:t>
      </w:r>
      <w:r>
        <w:rPr>
          <w:i/>
          <w:color w:val="7F7F7F"/>
          <w:sz w:val="18"/>
        </w:rPr>
        <w:t xml:space="preserve">  (Wachstum, Personalwechsel, Kundenanforderungen, Altsystem)</w:t>
      </w: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60" w:after="0"/>
      </w:pPr>
      <w:r>
        <w:rPr>
          <w:b/>
        </w:rPr>
        <w:t>Woran würden Sie in 12 Monaten festmachen, dass sich das Projekt gelohnt hat?</w:t>
      </w: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60" w:after="0"/>
      </w:pPr>
      <w:r>
        <w:rPr>
          <w:b/>
        </w:rPr>
        <w:t>Was soll auf keinen Fall schlechter werden als heute?</w:t>
      </w: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DISCOVERY 2/3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4 · Prozesse, Systeme &amp; Daten</w:t>
      </w:r>
    </w:p>
    <w:p>
      <w:pPr>
        <w:spacing w:after="40"/>
      </w:pPr>
      <w:r>
        <w:rPr>
          <w:i/>
          <w:color w:val="7F7F7F"/>
          <w:sz w:val="18"/>
        </w:rPr>
        <w:t>Basis für Scoping, Phasierung und den Claude-gestützten Datenimport.</w:t>
      </w:r>
    </w:p>
    <w:p>
      <w:pPr>
        <w:spacing w:before="160" w:after="0"/>
      </w:pPr>
      <w:r>
        <w:rPr>
          <w:b/>
        </w:rPr>
        <w:t>Welche Software ist heute im Einsatz – und wofür?</w:t>
      </w:r>
      <w:r>
        <w:rPr>
          <w:i/>
          <w:color w:val="7F7F7F"/>
          <w:sz w:val="18"/>
        </w:rPr>
        <w:t xml:space="preserve">  (Buchhaltung/DATEV, Planung, Labor, Kursbuchung, Office)</w:t>
      </w: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60" w:after="0"/>
      </w:pPr>
      <w:r>
        <w:rPr>
          <w:b/>
        </w:rPr>
        <w:t>Wie läuft ein Auftrag heute durch – von der Anfrage bis zur Rechnung?</w:t>
      </w:r>
      <w:r>
        <w:rPr>
          <w:i/>
          <w:color w:val="7F7F7F"/>
          <w:sz w:val="18"/>
        </w:rPr>
        <w:t xml:space="preserve">  (Inspektion, Beratung, Schulung im Vergleich)</w:t>
      </w: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60" w:after="0"/>
      </w:pPr>
      <w:r>
        <w:rPr>
          <w:b/>
        </w:rPr>
        <w:t>Welche Daten liegen vor – und in welcher Qualität?</w:t>
      </w:r>
      <w:r>
        <w:rPr>
          <w:i/>
          <w:color w:val="7F7F7F"/>
          <w:sz w:val="18"/>
        </w:rPr>
        <w:t xml:space="preserve">  (Kunden, Anlagen/Objekte, Prüfberichte, Vorlagen, Kurskatalog)</w:t>
      </w: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60" w:after="0"/>
      </w:pPr>
      <w:r>
        <w:rPr>
          <w:b/>
        </w:rPr>
        <w:t>Wie arbeiten die Prüfer vor Ort?</w:t>
      </w:r>
      <w:r>
        <w:rPr>
          <w:i/>
          <w:color w:val="7F7F7F"/>
          <w:sz w:val="18"/>
        </w:rPr>
        <w:t xml:space="preserve">  (mobil/offline, Checklisten, Fotos, Unterschriften, Berichtserstellung)</w:t>
      </w: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60" w:after="0"/>
      </w:pPr>
      <w:r>
        <w:rPr>
          <w:b/>
        </w:rPr>
        <w:t>Welche Systeme müssen bleiben und angebunden werden – was darf Odoo ersetzen?</w:t>
      </w: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r>
        <w:br w:type="page"/>
      </w:r>
    </w:p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DECK-FOLIE „ODOO-APPS FÜR BIOTEC“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5 · App-Hypothese validieren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04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Odoo-App</w:t>
            </w:r>
          </w:p>
        </w:tc>
        <w:tc>
          <w:tcPr>
            <w:tcW w:type="dxa" w:w="306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Zweck (Hypothese)</w:t>
            </w:r>
          </w:p>
        </w:tc>
        <w:tc>
          <w:tcPr>
            <w:tcW w:type="dxa" w:w="1474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Relevant?</w:t>
            </w:r>
          </w:p>
        </w:tc>
        <w:tc>
          <w:tcPr>
            <w:tcW w:type="dxa" w:w="306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Anmerkung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CRM &amp; Verkauf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Anfragen, Angebote &amp; Aufträge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☐ ja ☐ nein ☐ offen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Rechnungsstellung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Rechnungen &amp; Zahlungen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☐ ja ☐ nein ☐ offen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Einkauf &amp; Lager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Labor- &amp; Prüfmaterial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☐ ja ☐ nein ☐ offen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Außendienst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Einsatzplanung &amp; Prüfberichte vor Ort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☐ ja ☐ nein ☐ offen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Projekte &amp; Zeiterfassung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Beratungsaufträge &amp; Gutachten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☐ ja ☐ nein ☐ offen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Veranstaltungen &amp; E-Learning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VDI-Schulungen inkl. Online-Buchung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☐ ja ☐ nein ☐ offen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Abonnements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Wiederkehrende Prüfintervalle &amp; Verträge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☐ ja ☐ nein ☐ offen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Qualität &amp; Dokumente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Proben, Berichte &amp; Nachweise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☐ ja ☐ nein ☐ offen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Buchhaltung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Finanzbuchhaltung, DATEV-Anbindung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☐ ja ☐ nein ☐ offen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Produktion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bewusst nicht eingeplant – klären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☐ ja ☐ nein ☐ offen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Website / E-Commerce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bewusst nicht eingeplant – klären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☐ ja ☐ nein ☐ offen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Weitere: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☐ ja ☐ nein ☐ offen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</w:tbl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ERGÄNZUNG ZUM DECK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6 · Anforderungen Finance / Certania-Gruppe</w:t>
      </w:r>
    </w:p>
    <w:p>
      <w:pPr>
        <w:spacing w:after="40"/>
      </w:pPr>
      <w:r>
        <w:rPr>
          <w:i/>
          <w:color w:val="7F7F7F"/>
          <w:sz w:val="18"/>
        </w:rPr>
        <w:t>Aus dem Gruppen-Strang (Jeannette Bühler, Head of Group Accounting): vollintegriertes P2P/O2C und POC-/WIP-Bewertung. Klären, ob das zum Scope gehört.</w:t>
      </w:r>
    </w:p>
    <w:p>
      <w:pPr>
        <w:spacing w:before="160" w:after="0"/>
      </w:pPr>
      <w:r>
        <w:rPr>
          <w:b/>
        </w:rPr>
        <w:t>Gehören die Gruppenanforderungen (P2P/O2C, POC/WIP) zum biotec-Projekt – oder separat?</w:t>
      </w: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60" w:after="0"/>
      </w:pPr>
      <w:r>
        <w:rPr>
          <w:b/>
        </w:rPr>
        <w:t>Welche Anforderungen bestehen an das Reporting Package der Gruppe?</w:t>
      </w:r>
      <w:r>
        <w:rPr>
          <w:i/>
          <w:color w:val="7F7F7F"/>
          <w:sz w:val="18"/>
        </w:rPr>
        <w:t xml:space="preserve">  (Inhalte, Frequenz, Empfänger, Format)</w:t>
      </w: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60" w:after="0"/>
      </w:pPr>
      <w:r>
        <w:rPr>
          <w:b/>
        </w:rPr>
        <w:t>Laufen mehrjährige/mehrmonatige Projekte, die nach Fertigstellungsgrad bewertet werden?</w:t>
      </w:r>
      <w:r>
        <w:rPr>
          <w:i/>
          <w:color w:val="7F7F7F"/>
          <w:sz w:val="18"/>
        </w:rPr>
        <w:t xml:space="preserve">  (Festpreis, Meilensteinabrechnung, Fremdlabor)</w:t>
      </w: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60" w:after="0"/>
      </w:pPr>
      <w:r>
        <w:rPr>
          <w:b/>
        </w:rPr>
        <w:t>Bilanzierung nach HGB, IFRS oder beidem? Wer ist Steuerberater / Wirtschaftsprüfer?</w:t>
      </w: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DISCOVERY 3/3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7 · Team, Zeitrahmen &amp; Budget</w:t>
      </w:r>
    </w:p>
    <w:p>
      <w:pPr>
        <w:spacing w:before="160" w:after="0"/>
      </w:pPr>
      <w:r>
        <w:rPr>
          <w:b/>
        </w:rPr>
        <w:t>Wer wäre Ihr Hauptansprechpartner für die Iterationen?</w:t>
      </w:r>
      <w:r>
        <w:rPr>
          <w:i/>
          <w:color w:val="7F7F7F"/>
          <w:sz w:val="18"/>
        </w:rPr>
        <w:t xml:space="preserve">  (stimmt Feedbackrunden ab, schult später intern)</w:t>
      </w: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60" w:after="0"/>
      </w:pPr>
      <w:r>
        <w:rPr>
          <w:b/>
        </w:rPr>
        <w:t>Wie viel Zeit kann diese Person pro Woche realistisch einbringen?</w:t>
      </w:r>
      <w:r>
        <w:rPr>
          <w:i/>
          <w:color w:val="7F7F7F"/>
          <w:sz w:val="18"/>
        </w:rPr>
        <w:t xml:space="preserve">  (Richtwert: wenige Stunden für Demos &amp; Freigaben)</w:t>
      </w: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60" w:after="0"/>
      </w:pPr>
      <w:r>
        <w:rPr>
          <w:b/>
        </w:rPr>
        <w:t>Wie viele Mitarbeiter würden mit Odoo arbeiten?</w:t>
      </w:r>
      <w:r>
        <w:rPr>
          <w:i/>
          <w:color w:val="7F7F7F"/>
          <w:sz w:val="18"/>
        </w:rPr>
        <w:t xml:space="preserve">  (Innendienst, Prüfer, Labor, Verwaltung)</w:t>
      </w: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60" w:after="0"/>
      </w:pPr>
      <w:r>
        <w:rPr>
          <w:b/>
        </w:rPr>
        <w:t>Gibt es einen Wunschtermin für den Go-live – und was treibt ihn?</w:t>
      </w: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60" w:after="0"/>
      </w:pPr>
      <w:r>
        <w:rPr>
          <w:b/>
        </w:rPr>
        <w:t>In welchem Budgetrahmen bewegen wir uns – und wer entscheidet?</w:t>
      </w:r>
      <w:r>
        <w:rPr>
          <w:i/>
          <w:color w:val="7F7F7F"/>
          <w:sz w:val="18"/>
        </w:rPr>
        <w:t xml:space="preserve">  (Basis für Scoping &amp; Phasierung, keine Festlegung heute)</w:t>
      </w: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DECK-FOLIE „NÄCHSTE SCHRITTE“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8 · Nächste Schritte &amp; Aufgaben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Nr.</w:t>
            </w:r>
          </w:p>
        </w:tc>
        <w:tc>
          <w:tcPr>
            <w:tcW w:type="dxa" w:w="4535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Aufgabe</w:t>
            </w:r>
          </w:p>
        </w:tc>
        <w:tc>
          <w:tcPr>
            <w:tcW w:type="dxa" w:w="170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Wer</w:t>
            </w:r>
          </w:p>
        </w:tc>
        <w:tc>
          <w:tcPr>
            <w:tcW w:type="dxa" w:w="136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Termin</w:t>
            </w:r>
          </w:p>
        </w:tc>
        <w:tc>
          <w:tcPr>
            <w:tcW w:type="dxa" w:w="136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9"/>
              </w:rPr>
              <w:t>1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9"/>
              </w:rPr>
              <w:t>Zusammenfassung / Protokoll des Discovery Calls versenden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CertoClav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  <w:t>☐ offen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9"/>
              </w:rPr>
              <w:t>2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9"/>
              </w:rPr>
              <w:t>Beispielhafte Rohdaten &amp; Vorlagen teilen (keine Aufbereitung nötig)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biotec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  <w:t>☐ offen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9"/>
              </w:rPr>
              <w:t>3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9"/>
              </w:rPr>
              <w:t>Scoping &amp; Angebot: Phasierung, Aufwandsschätzung, Budgetbasis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CertoClav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  <w:t>☐ offen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9"/>
              </w:rPr>
              <w:t>4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9"/>
              </w:rPr>
              <w:t>Entscheidung &amp; Kick-Off: Hauptansprechpartner benennen, Termin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Gemeinsam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  <w:t>☐ offen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9"/>
              </w:rPr>
              <w:t>5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  <w:t>☐ offen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9"/>
              </w:rPr>
              <w:t>6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  <w:t>☐ offen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9"/>
              </w:rPr>
              <w:t>7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  <w:t>☐ offen</w:t>
            </w:r>
          </w:p>
        </w:tc>
      </w:tr>
    </w:tbl>
    <w:p>
      <w:pPr>
        <w:spacing w:before="28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9 · Offene Punkte &amp; Risiken</w:t>
      </w:r>
    </w:p>
    <w:p>
      <w:pPr>
        <w:spacing w:after="40"/>
      </w:pPr>
      <w:r>
        <w:rPr>
          <w:i/>
          <w:color w:val="7F7F7F"/>
          <w:sz w:val="18"/>
        </w:rPr>
        <w:t>Was im Termin nicht geklärt werden konnte – inkl. wer es klärt.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6236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Offener Punkt</w:t>
            </w:r>
          </w:p>
        </w:tc>
        <w:tc>
          <w:tcPr>
            <w:tcW w:type="dxa" w:w="170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Klärt</w:t>
            </w:r>
          </w:p>
        </w:tc>
        <w:tc>
          <w:tcPr>
            <w:tcW w:type="dxa" w:w="170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Bis</w:t>
            </w:r>
          </w:p>
        </w:tc>
      </w:tr>
      <w:tr>
        <w:tc>
          <w:tcPr>
            <w:tcW w:type="dxa" w:w="6236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6236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6236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6236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6236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6236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</w:tbl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NICHT TEIL DES KUNDENPROTOKOLLS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10 · Interne Notizen</w:t>
      </w:r>
    </w:p>
    <w:p>
      <w:pPr>
        <w:spacing w:after="40"/>
      </w:pPr>
      <w:r>
        <w:rPr>
          <w:i/>
          <w:color w:val="7F7F7F"/>
          <w:sz w:val="18"/>
        </w:rPr>
        <w:t>Einschätzung Machbarkeit, Aufwandstreiber, Stakeholder-Dynamik, Preisindikation. Vor dem Versand an den Kunden entfernen.</w:t>
      </w: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/>
    <w:r>
      <w:rPr>
        <w:color w:val="7F7F7F"/>
        <w:sz w:val="13"/>
      </w:rPr>
      <w:t>CertoClav Sterilizer GmbH  ·  Peintner Straße 10, 4060 Leonding, Österreich  ·  Geschäftsführer: Michael Simon (geb. Dirix), MSc.</w:t>
    </w:r>
  </w:p>
  <w:p>
    <w:pPr>
      <w:spacing w:after="0"/>
      <w:jc w:val="center"/>
    </w:pPr>
    <w:r>
      <w:rPr>
        <w:color w:val="7F7F7F"/>
        <w:sz w:val="13"/>
      </w:rPr>
      <w:t>Firmenbuch: Landesgericht Linz, FN 122912d  ·  UID ATU22821702  ·  Tel. +43 732 674 278  ·  support@certoclav.com  ·  www.certoclav.com</w:t>
    </w:r>
  </w:p>
  <w:p>
    <w:pPr>
      <w:spacing w:before="40"/>
      <w:jc w:val="center"/>
    </w:pPr>
    <w:r>
      <w:rPr>
        <w:color w:val="7F7F7F"/>
        <w:sz w:val="14"/>
      </w:rPr>
      <w:t xml:space="preserve">Seite </w:t>
    </w:r>
    <w:fldSimple w:instr="PAGE">
      <w:r>
        <w:t>1</w:t>
      </w:r>
    </w:fldSimple>
    <w:r>
      <w:rPr>
        <w:color w:val="7F7F7F"/>
        <w:sz w:val="14"/>
      </w:rPr>
      <w:t xml:space="preserve"> von </w:t>
    </w:r>
    <w:fldSimple w:instr="NUMPAGES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6" w:space="2" w:color="BFBFBF"/>
      </w:pBdr>
    </w:pPr>
    <w:r/>
    <w:r>
      <w:rPr>
        <w:b/>
        <w:color w:val="1F4E79"/>
        <w:sz w:val="16"/>
      </w:rPr>
      <w:t>CERTOCLAV CONSULTING</w:t>
    </w:r>
    <w:r>
      <w:rPr>
        <w:color w:val="7F7F7F"/>
        <w:sz w:val="16"/>
      </w:rPr>
      <w:tab/>
      <w:t>Protokoll Discovery Call  ·  Dok.-Nr. DISC-2026-001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