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4"/>
        </w:rPr>
        <w:t>Vertraulichkeitsvereinbarung</w:t>
      </w:r>
    </w:p>
    <w:p>
      <w:pPr>
        <w:spacing w:after="280"/>
      </w:pPr>
      <w:r>
        <w:rPr>
          <w:color w:val="7F7F7F"/>
          <w:sz w:val="22"/>
        </w:rPr>
        <w:t>Gegenseitige Vereinbarung über die Behandlung vertraulicher Informationen</w:t>
      </w:r>
    </w:p>
    <w:p>
      <w:pPr>
        <w:spacing w:after="80"/>
      </w:pPr>
      <w:r>
        <w:rPr>
          <w:b w:val="0"/>
          <w:i w:val="0"/>
          <w:sz w:val="20"/>
        </w:rPr>
        <w:t>zwischen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Partei</w:t>
            </w:r>
          </w:p>
        </w:tc>
        <w:tc>
          <w:tcPr>
            <w:tcW w:type="dxa" w:w="782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Angaben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  <w:t>biotec GmbH</w:t>
              <w:br/>
              <w:t>(nachfolgend „biotec“)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sz w:val="19"/>
              </w:rPr>
              <w:t>Elbrachtsweg 76, 33332 Gütersloh, Deutschland</w:t>
              <w:br/>
              <w:t>Telefon +49 5241 307200 · info@biotec-gmbh.com</w:t>
              <w:br/>
              <w:t>vertreten durch: ______________________________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  <w:t>CertoClav Sterilizer GmbH</w:t>
              <w:br/>
              <w:t>(nachfolgend „CertoClav“)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sz w:val="19"/>
              </w:rPr>
              <w:t>Peintner Straße 10, 4060 Leonding, Österreich</w:t>
              <w:br/>
              <w:t>Telefon +43 732 674 278 · support@certoclav.com</w:t>
              <w:br/>
              <w:t>Firmenbuch: Landesgericht Linz, FN 122912d · UID ATU22821702</w:t>
              <w:br/>
              <w:t>vertreten durch: Michael Simon (geb. Dirix), MSc., Geschäftsführer</w:t>
            </w:r>
          </w:p>
        </w:tc>
      </w:tr>
    </w:tbl>
    <w:p>
      <w:pPr>
        <w:spacing w:after="200"/>
      </w:pPr>
      <w:r>
        <w:rPr>
          <w:b w:val="0"/>
          <w:i/>
          <w:sz w:val="19"/>
        </w:rPr>
        <w:t>– gemeinsam die „Parteien“, jeweils einzeln „Partei“ –</w:t>
      </w:r>
    </w:p>
    <w:p>
      <w:pPr>
        <w:spacing w:before="240" w:after="80"/>
      </w:pPr>
      <w:r>
        <w:rPr>
          <w:b/>
          <w:color w:val="1F4E79"/>
          <w:sz w:val="22"/>
        </w:rPr>
        <w:t>1. Zweck</w:t>
      </w:r>
    </w:p>
    <w:p>
      <w:pPr>
        <w:spacing w:after="100"/>
        <w:ind w:left="624" w:hanging="624"/>
      </w:pPr>
      <w:r>
        <w:rPr>
          <w:b/>
          <w:sz w:val="20"/>
        </w:rPr>
        <w:t>1.1</w:t>
        <w:tab/>
      </w:r>
      <w:r>
        <w:rPr>
          <w:sz w:val="20"/>
        </w:rPr>
        <w:t>Die Parteien prüfen und führen die Einführung des ERP-Systems Odoo bei biotec durch (der „Zweck“). Dazu ist der Austausch vertraulicher Informationen erforderlich.</w:t>
      </w:r>
    </w:p>
    <w:p>
      <w:pPr>
        <w:spacing w:after="100"/>
        <w:ind w:left="624" w:hanging="624"/>
      </w:pPr>
      <w:r>
        <w:rPr>
          <w:b/>
          <w:sz w:val="20"/>
        </w:rPr>
        <w:t>1.2</w:t>
        <w:tab/>
      </w:r>
      <w:r>
        <w:rPr>
          <w:sz w:val="20"/>
        </w:rPr>
        <w:t>Vertrauliche Informationen dürfen ausschließlich für diesen Zweck verwendet werden.</w:t>
      </w:r>
    </w:p>
    <w:p>
      <w:pPr>
        <w:spacing w:before="240" w:after="80"/>
      </w:pPr>
      <w:r>
        <w:rPr>
          <w:b/>
          <w:color w:val="1F4E79"/>
          <w:sz w:val="22"/>
        </w:rPr>
        <w:t>2. Vertrauliche Informationen</w:t>
      </w:r>
    </w:p>
    <w:p>
      <w:pPr>
        <w:spacing w:after="100"/>
        <w:ind w:left="624" w:hanging="624"/>
      </w:pPr>
      <w:r>
        <w:rPr>
          <w:b/>
          <w:sz w:val="20"/>
        </w:rPr>
        <w:t>2.1</w:t>
        <w:tab/>
      </w:r>
      <w:r>
        <w:rPr>
          <w:sz w:val="20"/>
        </w:rPr>
        <w:t>Vertrauliche Informationen sind alle Informationen, die eine Partei („offenbarende Partei“) der anderen („empfangende Partei“) im Zusammenhang mit dem Zweck zugänglich macht – unabhängig von Form und Datenträger, mündlich, schriftlich, elektronisch oder durch Einsichtnahme.</w:t>
      </w:r>
    </w:p>
    <w:p>
      <w:pPr>
        <w:spacing w:after="100"/>
        <w:ind w:left="624" w:hanging="624"/>
      </w:pPr>
      <w:r>
        <w:rPr>
          <w:b/>
          <w:sz w:val="20"/>
        </w:rPr>
        <w:t>2.2</w:t>
        <w:tab/>
      </w:r>
      <w:r>
        <w:rPr>
          <w:sz w:val="20"/>
        </w:rPr>
        <w:t>Dazu gehören insbesondere, ohne darauf beschränkt zu sein:</w:t>
      </w:r>
    </w:p>
    <w:p>
      <w:pPr>
        <w:spacing w:after="40"/>
        <w:ind w:left="907"/>
      </w:pPr>
      <w:r>
        <w:rPr>
          <w:b w:val="0"/>
          <w:i w:val="0"/>
          <w:sz w:val="20"/>
        </w:rPr>
        <w:t>– Kunden-, Lieferanten- und Kontaktdaten sowie Anlagen- und Objektdaten,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Prüfberichte, Gutachten, Analyseergebnisse, Prüfpläne und Bewertungsschemata,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kaufmännische Daten: Preise, Kalkulationen, Umsätze, Konten, offene Posten,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Datenbanken, Datenbankschemata, Datenexporte und Quellcode einschließlich Dokumentation der von biotec eingesetzten Software,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Vorlagen, Layouts und Textbausteine der Dokumente von biotec,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Konzepte, Architekturen, Vorgehensmodelle, Aufwandsschätzungen und Kalkulationsgrundlagen von CertoClav,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Verträge, Vertragsentwürfe und Konditionen beider Parteien.</w:t>
      </w:r>
    </w:p>
    <w:p>
      <w:pPr>
        <w:spacing w:after="100"/>
        <w:ind w:left="624" w:hanging="624"/>
      </w:pPr>
      <w:r>
        <w:rPr>
          <w:b/>
          <w:sz w:val="20"/>
        </w:rPr>
        <w:t>2.3</w:t>
        <w:tab/>
      </w:r>
      <w:r>
        <w:rPr>
          <w:sz w:val="20"/>
        </w:rPr>
        <w:t>Eine Kennzeichnung als „vertraulich“ ist nicht erforderlich. Die Parteien behandeln die genannten Informationen auch ohne Kennzeichnung als vertraulich.</w:t>
      </w:r>
    </w:p>
    <w:p>
      <w:pPr>
        <w:spacing w:after="100"/>
        <w:ind w:left="624" w:hanging="624"/>
      </w:pPr>
      <w:r>
        <w:rPr>
          <w:b/>
          <w:sz w:val="20"/>
        </w:rPr>
        <w:t>2.4</w:t>
        <w:tab/>
      </w:r>
      <w:r>
        <w:rPr>
          <w:sz w:val="20"/>
        </w:rPr>
        <w:t>Die Parteien sind sich einig, dass die in dieser Vereinbarung getroffenen Maßnahmen angemessene Geheimhaltungsmaßnahmen im Sinne des Geschäftsgeheimnisgesetzes darstellen.</w:t>
      </w:r>
    </w:p>
    <w:p>
      <w:pPr>
        <w:spacing w:before="240" w:after="80"/>
      </w:pPr>
      <w:r>
        <w:rPr>
          <w:b/>
          <w:color w:val="1F4E79"/>
          <w:sz w:val="22"/>
        </w:rPr>
        <w:t>3. Ausnahmen</w:t>
      </w:r>
    </w:p>
    <w:p>
      <w:pPr>
        <w:spacing w:after="100"/>
        <w:ind w:left="624" w:hanging="624"/>
      </w:pPr>
      <w:r>
        <w:rPr>
          <w:b/>
          <w:sz w:val="20"/>
        </w:rPr>
        <w:t>3.1</w:t>
        <w:tab/>
      </w:r>
      <w:r>
        <w:rPr>
          <w:sz w:val="20"/>
        </w:rPr>
        <w:t>Nicht vertraulich sind Informationen, die</w:t>
      </w:r>
    </w:p>
    <w:p>
      <w:pPr>
        <w:spacing w:after="40"/>
        <w:ind w:left="907"/>
      </w:pPr>
      <w:r>
        <w:rPr>
          <w:b w:val="0"/>
          <w:i w:val="0"/>
          <w:sz w:val="20"/>
        </w:rPr>
        <w:t>– bei Erhalt bereits allgemein bekannt waren oder ohne Verletzung dieser Vereinbarung allgemein bekannt werden,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der empfangenden Partei vor der Offenbarung rechtmäßig und ohne Vertraulichkeitsbindung bekannt waren,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die empfangende Partei ohne Nutzung der vertraulichen Informationen selbst entwickelt hat,</w:t>
      </w:r>
    </w:p>
    <w:p>
      <w:pPr>
        <w:spacing w:after="40"/>
        <w:ind w:left="907"/>
      </w:pPr>
      <w:r>
        <w:rPr>
          <w:b w:val="0"/>
          <w:i w:val="0"/>
          <w:sz w:val="20"/>
        </w:rPr>
        <w:t>– von einem berechtigten Dritten ohne Vertraulichkeitsbindung überlassen wurden.</w:t>
      </w:r>
    </w:p>
    <w:p>
      <w:pPr>
        <w:spacing w:after="100"/>
        <w:ind w:left="624" w:hanging="624"/>
      </w:pPr>
      <w:r>
        <w:rPr>
          <w:b/>
          <w:sz w:val="20"/>
        </w:rPr>
        <w:t>3.2</w:t>
        <w:tab/>
      </w:r>
      <w:r>
        <w:rPr>
          <w:sz w:val="20"/>
        </w:rPr>
        <w:t>Besteht eine gesetzliche oder behördliche Pflicht zur Offenlegung, informiert die empfangende Partei die offenbarende Partei unverzüglich und beschränkt die Offenlegung auf das erforderliche Maß.</w:t>
      </w:r>
    </w:p>
    <w:p>
      <w:pPr>
        <w:spacing w:before="240" w:after="80"/>
      </w:pPr>
      <w:r>
        <w:rPr>
          <w:b/>
          <w:color w:val="1F4E79"/>
          <w:sz w:val="22"/>
        </w:rPr>
        <w:t>4. Pflichten der empfangenden Partei</w:t>
      </w:r>
    </w:p>
    <w:p>
      <w:pPr>
        <w:spacing w:after="100"/>
        <w:ind w:left="624" w:hanging="624"/>
      </w:pPr>
      <w:r>
        <w:rPr>
          <w:b/>
          <w:sz w:val="20"/>
        </w:rPr>
        <w:t>4.1</w:t>
        <w:tab/>
      </w:r>
      <w:r>
        <w:rPr>
          <w:sz w:val="20"/>
        </w:rPr>
        <w:t>Die empfangende Partei bewahrt vertrauliche Informationen geheim, schützt sie mit der Sorgfalt, die sie eigenen vertraulichen Informationen entgegenbringt – mindestens jedoch mit verkehrsüblicher Sorgfalt – und gibt sie nicht an Dritte weiter.</w:t>
      </w:r>
    </w:p>
    <w:p>
      <w:pPr>
        <w:spacing w:after="100"/>
        <w:ind w:left="624" w:hanging="624"/>
      </w:pPr>
      <w:r>
        <w:rPr>
          <w:b/>
          <w:sz w:val="20"/>
        </w:rPr>
        <w:t>4.2</w:t>
        <w:tab/>
      </w:r>
      <w:r>
        <w:rPr>
          <w:sz w:val="20"/>
        </w:rPr>
        <w:t>Zugang erhalten nur Personen, die die Informationen für den Zweck benötigen (Kenntnis-nur-wenn-nötig) und die zur Vertraulichkeit verpflichtet sind. Dies umfasst Mitarbeitende, Organe und Beauftragte.</w:t>
      </w:r>
    </w:p>
    <w:p>
      <w:pPr>
        <w:spacing w:after="100"/>
        <w:ind w:left="624" w:hanging="624"/>
      </w:pPr>
      <w:r>
        <w:rPr>
          <w:b/>
          <w:sz w:val="20"/>
        </w:rPr>
        <w:t>4.3</w:t>
        <w:tab/>
      </w:r>
      <w:r>
        <w:rPr>
          <w:sz w:val="20"/>
        </w:rPr>
        <w:t>Die Einbeziehung von Unterauftragnehmern ist zulässig, wenn diese schriftlich zu einer mindestens gleichwertigen Vertraulichkeit verpflichtet werden. Die empfangende Partei bleibt verantwortlich.</w:t>
      </w:r>
    </w:p>
    <w:p>
      <w:pPr>
        <w:spacing w:after="100"/>
        <w:ind w:left="624" w:hanging="624"/>
      </w:pPr>
      <w:r>
        <w:rPr>
          <w:b/>
          <w:sz w:val="20"/>
        </w:rPr>
        <w:t>4.4</w:t>
        <w:tab/>
      </w:r>
      <w:r>
        <w:rPr>
          <w:sz w:val="20"/>
        </w:rPr>
        <w:t>Vertrauliche Informationen werden nicht länger und nicht weiter gespeichert als für den Zweck erforderlich. Die Speicherung erfolgt auf zugriffsbeschränkten Systemen.</w:t>
      </w:r>
    </w:p>
    <w:p>
      <w:pPr>
        <w:spacing w:after="100"/>
        <w:ind w:left="624" w:hanging="624"/>
      </w:pPr>
      <w:r>
        <w:rPr>
          <w:b/>
          <w:sz w:val="20"/>
        </w:rPr>
        <w:t>4.5</w:t>
        <w:tab/>
      </w:r>
      <w:r>
        <w:rPr>
          <w:sz w:val="20"/>
        </w:rPr>
        <w:t>Quellcode und Datenbankinhalte werden ausschließlich zur Analyse und zur Datenübernahme im Rahmen des Zwecks verwendet. Eine Nutzung für eigene Produkte oder für Dritte ist ausgeschlossen.</w:t>
      </w:r>
    </w:p>
    <w:p>
      <w:r>
        <w:br w:type="page"/>
      </w:r>
    </w:p>
    <w:p>
      <w:pPr>
        <w:spacing w:before="240" w:after="80"/>
      </w:pPr>
      <w:r>
        <w:rPr>
          <w:b/>
          <w:color w:val="1F4E79"/>
          <w:sz w:val="22"/>
        </w:rPr>
        <w:t>5. Personenbezogene Daten</w:t>
      </w:r>
    </w:p>
    <w:p>
      <w:pPr>
        <w:spacing w:after="100"/>
        <w:ind w:left="624" w:hanging="624"/>
      </w:pPr>
      <w:r>
        <w:rPr>
          <w:b/>
          <w:sz w:val="20"/>
        </w:rPr>
        <w:t>5.1</w:t>
        <w:tab/>
      </w:r>
      <w:r>
        <w:rPr>
          <w:sz w:val="20"/>
        </w:rPr>
        <w:t>Soweit vertrauliche Informationen personenbezogene Daten enthalten, beschränken die Parteien deren Übermittlung auf das für den Zweck erforderliche Maß. biotec stellt Beispieldaten soweit möglich anonymisiert oder pseudonymisiert bereit.</w:t>
      </w:r>
    </w:p>
    <w:p>
      <w:pPr>
        <w:spacing w:after="100"/>
        <w:ind w:left="624" w:hanging="624"/>
      </w:pPr>
      <w:r>
        <w:rPr>
          <w:b/>
          <w:sz w:val="20"/>
        </w:rPr>
        <w:t>5.2</w:t>
        <w:tab/>
      </w:r>
      <w:r>
        <w:rPr>
          <w:sz w:val="20"/>
        </w:rPr>
        <w:t>Diese Vereinbarung ersetzt keinen Vertrag über die Auftragsverarbeitung. Sofern CertoClav personenbezogene Daten im Auftrag von biotec verarbeitet, schließen die Parteien zusätzlich eine Vereinbarung nach Art. 28 DSGVO.</w:t>
      </w:r>
    </w:p>
    <w:p>
      <w:pPr>
        <w:spacing w:before="240" w:after="80"/>
      </w:pPr>
      <w:r>
        <w:rPr>
          <w:b/>
          <w:color w:val="1F4E79"/>
          <w:sz w:val="22"/>
        </w:rPr>
        <w:t>6. Keine Rechteübertragung, keine Abschlusspflicht</w:t>
      </w:r>
    </w:p>
    <w:p>
      <w:pPr>
        <w:spacing w:after="100"/>
        <w:ind w:left="624" w:hanging="624"/>
      </w:pPr>
      <w:r>
        <w:rPr>
          <w:b/>
          <w:sz w:val="20"/>
        </w:rPr>
        <w:t>6.1</w:t>
        <w:tab/>
      </w:r>
      <w:r>
        <w:rPr>
          <w:sz w:val="20"/>
        </w:rPr>
        <w:t>Vertrauliche Informationen bleiben Eigentum der offenbarenden Partei. Diese Vereinbarung begründet keine Lizenz und keine sonstigen Rechte an gewerblichen Schutzrechten, Urheberrechten oder Know-how.</w:t>
      </w:r>
    </w:p>
    <w:p>
      <w:pPr>
        <w:spacing w:after="100"/>
        <w:ind w:left="624" w:hanging="624"/>
      </w:pPr>
      <w:r>
        <w:rPr>
          <w:b/>
          <w:sz w:val="20"/>
        </w:rPr>
        <w:t>6.2</w:t>
        <w:tab/>
      </w:r>
      <w:r>
        <w:rPr>
          <w:sz w:val="20"/>
        </w:rPr>
        <w:t>Aus dieser Vereinbarung ergibt sich keine Verpflichtung, einen weiteren Vertrag abzuschließen oder Informationen offenzulegen.</w:t>
      </w:r>
    </w:p>
    <w:p>
      <w:pPr>
        <w:spacing w:after="100"/>
        <w:ind w:left="624" w:hanging="624"/>
      </w:pPr>
      <w:r>
        <w:rPr>
          <w:b/>
          <w:sz w:val="20"/>
        </w:rPr>
        <w:t>6.3</w:t>
        <w:tab/>
      </w:r>
      <w:r>
        <w:rPr>
          <w:sz w:val="20"/>
        </w:rPr>
        <w:t>Die offenbarende Partei übernimmt keine Gewähr für Richtigkeit oder Vollständigkeit der offenbarten Informationen.</w:t>
      </w:r>
    </w:p>
    <w:p>
      <w:pPr>
        <w:spacing w:before="240" w:after="80"/>
      </w:pPr>
      <w:r>
        <w:rPr>
          <w:b/>
          <w:color w:val="1F4E79"/>
          <w:sz w:val="22"/>
        </w:rPr>
        <w:t>7. Rückgabe und Löschung</w:t>
      </w:r>
    </w:p>
    <w:p>
      <w:pPr>
        <w:spacing w:after="100"/>
        <w:ind w:left="624" w:hanging="624"/>
      </w:pPr>
      <w:r>
        <w:rPr>
          <w:b/>
          <w:sz w:val="20"/>
        </w:rPr>
        <w:t>7.1</w:t>
        <w:tab/>
      </w:r>
      <w:r>
        <w:rPr>
          <w:sz w:val="20"/>
        </w:rPr>
        <w:t>Auf Verlangen der offenbarenden Partei, spätestens nach Erledigung des Zwecks, gibt die empfangende Partei alle vertraulichen Informationen samt Kopien zurück oder löscht sie und bestätigt dies auf Wunsch schriftlich.</w:t>
      </w:r>
    </w:p>
    <w:p>
      <w:pPr>
        <w:spacing w:after="100"/>
        <w:ind w:left="624" w:hanging="624"/>
      </w:pPr>
      <w:r>
        <w:rPr>
          <w:b/>
          <w:sz w:val="20"/>
        </w:rPr>
        <w:t>7.2</w:t>
        <w:tab/>
      </w:r>
      <w:r>
        <w:rPr>
          <w:sz w:val="20"/>
        </w:rPr>
        <w:t>Ausgenommen sind Informationen, für die eine gesetzliche Aufbewahrungspflicht besteht, sowie Sicherungskopien aus automatisierten Backup-Verfahren. Für diese gilt die Vertraulichkeitspflicht fort.</w:t>
      </w:r>
    </w:p>
    <w:p>
      <w:pPr>
        <w:spacing w:after="100"/>
        <w:ind w:left="624" w:hanging="624"/>
      </w:pPr>
      <w:r>
        <w:rPr>
          <w:b/>
          <w:sz w:val="20"/>
        </w:rPr>
        <w:t>7.3</w:t>
        <w:tab/>
      </w:r>
      <w:r>
        <w:rPr>
          <w:sz w:val="20"/>
        </w:rPr>
        <w:t>Datenbanksicherungen und Quellcode werden nach Abschluss des Projekts gelöscht, sofern die Parteien nichts anderes vereinbaren.</w:t>
      </w:r>
    </w:p>
    <w:p>
      <w:pPr>
        <w:spacing w:before="240" w:after="80"/>
      </w:pPr>
      <w:r>
        <w:rPr>
          <w:b/>
          <w:color w:val="1F4E79"/>
          <w:sz w:val="22"/>
        </w:rPr>
        <w:t>8. Laufzeit</w:t>
      </w:r>
    </w:p>
    <w:p>
      <w:pPr>
        <w:spacing w:after="100"/>
        <w:ind w:left="624" w:hanging="624"/>
      </w:pPr>
      <w:r>
        <w:rPr>
          <w:b/>
          <w:sz w:val="20"/>
        </w:rPr>
        <w:t>8.1</w:t>
        <w:tab/>
      </w:r>
      <w:r>
        <w:rPr>
          <w:sz w:val="20"/>
        </w:rPr>
        <w:t>Diese Vereinbarung tritt mit Unterzeichnung durch beide Parteien in Kraft.</w:t>
      </w:r>
    </w:p>
    <w:p>
      <w:pPr>
        <w:spacing w:after="100"/>
        <w:ind w:left="624" w:hanging="624"/>
      </w:pPr>
      <w:r>
        <w:rPr>
          <w:b/>
          <w:sz w:val="20"/>
        </w:rPr>
        <w:t>8.2</w:t>
        <w:tab/>
      </w:r>
      <w:r>
        <w:rPr>
          <w:sz w:val="20"/>
        </w:rPr>
        <w:t>Die Vertraulichkeitspflichten gelten für 3 Jahre nach Beendigung der Zusammenarbeit fort. Für Informationen, die Geschäftsgeheimnisse darstellen, gelten sie unbefristet, solange die Voraussetzungen eines Geschäftsgeheimnisses vorliegen.</w:t>
      </w:r>
    </w:p>
    <w:p>
      <w:pPr>
        <w:spacing w:before="240" w:after="80"/>
      </w:pPr>
      <w:r>
        <w:rPr>
          <w:b/>
          <w:color w:val="1F4E79"/>
          <w:sz w:val="22"/>
        </w:rPr>
        <w:t>9. Schlussbestimmungen</w:t>
      </w:r>
    </w:p>
    <w:p>
      <w:pPr>
        <w:spacing w:after="100"/>
        <w:ind w:left="624" w:hanging="624"/>
      </w:pPr>
      <w:r>
        <w:rPr>
          <w:b/>
          <w:sz w:val="20"/>
        </w:rPr>
        <w:t>9.1</w:t>
        <w:tab/>
      </w:r>
      <w:r>
        <w:rPr>
          <w:sz w:val="20"/>
        </w:rPr>
        <w:t>Änderungen und Ergänzungen bedürfen der Schriftform. Das gilt auch für die Änderung dieser Klausel.</w:t>
      </w:r>
    </w:p>
    <w:p>
      <w:pPr>
        <w:spacing w:after="100"/>
        <w:ind w:left="624" w:hanging="624"/>
      </w:pPr>
      <w:r>
        <w:rPr>
          <w:b/>
          <w:sz w:val="20"/>
        </w:rPr>
        <w:t>9.2</w:t>
        <w:tab/>
      </w:r>
      <w:r>
        <w:rPr>
          <w:sz w:val="20"/>
        </w:rPr>
        <w:t>Sollte eine Bestimmung unwirksam sein, bleibt die Vereinbarung im Übrigen wirksam. Die Parteien ersetzen die unwirksame Bestimmung durch eine wirksame, die dem verfolgten Zweck am nächsten kommt.</w:t>
      </w:r>
    </w:p>
    <w:p>
      <w:pPr>
        <w:spacing w:after="100"/>
        <w:ind w:left="624" w:hanging="624"/>
      </w:pPr>
      <w:r>
        <w:rPr>
          <w:b/>
          <w:sz w:val="20"/>
        </w:rPr>
        <w:t>9.3</w:t>
        <w:tab/>
      </w:r>
      <w:r>
        <w:rPr>
          <w:sz w:val="20"/>
        </w:rPr>
        <w:t>Es gilt das Recht der Bundesrepublik Deutschland unter Ausschluss des UN-Kaufrechts. Ausschließlicher Gerichtsstand ist Gütersloh.</w:t>
      </w:r>
    </w:p>
    <w:p>
      <w:pPr>
        <w:spacing w:after="100"/>
        <w:ind w:left="624" w:hanging="624"/>
      </w:pPr>
      <w:r>
        <w:rPr>
          <w:b/>
          <w:sz w:val="20"/>
        </w:rPr>
        <w:t>9.4</w:t>
        <w:tab/>
      </w:r>
      <w:r>
        <w:rPr>
          <w:sz w:val="20"/>
        </w:rPr>
        <w:t>Diese Vereinbarung enthält die vollständige Abrede der Parteien zur Vertraulichkeit und ersetzt frühere Absprachen hierzu.</w:t>
      </w:r>
    </w:p>
    <w:p>
      <w:pPr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Unterschriften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biotec GmbH</w:t>
            </w:r>
          </w:p>
        </w:tc>
        <w:tc>
          <w:tcPr>
            <w:tcW w:type="dxa" w:w="4819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CertoClav Sterilizer GmbH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br/>
              <w:br/>
              <w:t>Ort, Datum</w:t>
              <w:br/>
              <w:br/>
              <w:br/>
              <w:br/>
              <w:br/>
              <w:t>________________________________</w:t>
              <w:br/>
              <w:t>Name, Funktion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br/>
              <w:br/>
              <w:t>Ort, Datum</w:t>
              <w:br/>
              <w:br/>
              <w:br/>
              <w:br/>
              <w:br/>
              <w:t>________________________________</w:t>
              <w:br/>
              <w:t>Michael Simon (geb. Dirix), MSc.</w:t>
              <w:br/>
              <w:t>Geschäftsführer</w:t>
            </w:r>
          </w:p>
        </w:tc>
      </w:tr>
    </w:tbl>
    <w:p>
      <w:pPr>
        <w:spacing w:before="320"/>
        <w:pBdr>
          <w:bottom w:val="single" w:sz="6" w:space="2" w:color="BFBFBF"/>
        </w:pBdr>
      </w:pPr>
      <w:r>
        <w:rPr>
          <w:b/>
          <w:color w:val="7F7F7F"/>
          <w:sz w:val="16"/>
        </w:rPr>
        <w:t>Hinweis für den internen Gebrauch</w:t>
      </w:r>
    </w:p>
    <w:p>
      <w:pPr>
        <w:spacing w:after="40"/>
      </w:pPr>
      <w:r>
        <w:rPr>
          <w:i/>
          <w:color w:val="7F7F7F"/>
          <w:sz w:val="18"/>
        </w:rPr>
        <w:t>Diese Vereinbarung ist eine Vorlage und keine Rechtsberatung. Vor Verwendung juristisch prüfen lassen. Vorbelegt sind deutsches Recht und Gerichtsstand Gütersloh, weil biotec die hauptsächlich offenbarende Partei ist – das erleichtert die Zeichnung auf Kundenseite. Alternative: österreichisches Recht, Gerichtsstand Linz. Diesen Hinweis vor dem Versand löschen.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color w:val="7F7F7F"/>
        <w:sz w:val="13"/>
      </w:rPr>
      <w:t>CertoClav Sterilizer GmbH  ·  Peintner Straße 10, 4060 Leonding, Österreich  ·  Geschäftsführer: Michael Simon (geb. Dirix), MSc.</w:t>
    </w:r>
  </w:p>
  <w:p>
    <w:pPr>
      <w:spacing w:after="0"/>
      <w:jc w:val="center"/>
    </w:pPr>
    <w:r>
      <w:rPr>
        <w:color w:val="7F7F7F"/>
        <w:sz w:val="13"/>
      </w:rPr>
      <w:t>Firmenbuch: Landesgericht Linz, FN 122912d  ·  UID ATU22821702  ·  Tel. +43 732 674 278  ·  support@certoclav.com  ·  www.certoclav.com</w:t>
    </w:r>
  </w:p>
  <w:p>
    <w:pPr>
      <w:spacing w:before="40"/>
      <w:jc w:val="center"/>
    </w:pPr>
    <w:r>
      <w:rPr>
        <w:color w:val="7F7F7F"/>
        <w:sz w:val="14"/>
      </w:rPr>
      <w:t xml:space="preserve">Seite </w:t>
    </w:r>
    <w:fldSimple w:instr="PAGE">
      <w:r>
        <w:t>1</w:t>
      </w:r>
    </w:fldSimple>
    <w:r>
      <w:rPr>
        <w:color w:val="7F7F7F"/>
        <w:sz w:val="14"/>
      </w:rPr>
      <w:t xml:space="preserve"> von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BFBFBF"/>
      </w:pBdr>
    </w:pPr>
    <w:r/>
    <w:r>
      <w:rPr>
        <w:b/>
        <w:color w:val="1F4E79"/>
        <w:sz w:val="16"/>
      </w:rPr>
      <w:t>CERTOCLAV CONSULTING</w:t>
    </w:r>
    <w:r>
      <w:rPr>
        <w:color w:val="7F7F7F"/>
        <w:sz w:val="16"/>
      </w:rPr>
      <w:tab/>
      <w:t>Vertraulichkeitsvereinbarung  ·  Dok.-Nr. NDA-2026-001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