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4"/>
        </w:rPr>
        <w:t>Vertrag über die Auftragsverarbeitung</w:t>
      </w:r>
    </w:p>
    <w:p>
      <w:pPr>
        <w:spacing w:after="280"/>
      </w:pPr>
      <w:r>
        <w:rPr>
          <w:color w:val="7F7F7F"/>
          <w:sz w:val="22"/>
        </w:rPr>
        <w:t>nach Art. 28 DSGVO  ·  Version 1, Stand 20.08.2026</w:t>
      </w:r>
    </w:p>
    <w:p>
      <w:pPr>
        <w:spacing w:after="80"/>
      </w:pPr>
      <w:r>
        <w:rPr>
          <w:b w:val="0"/>
          <w:i w:val="0"/>
          <w:sz w:val="20"/>
        </w:rPr>
        <w:t>zwischen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Partei</w:t>
            </w:r>
          </w:p>
        </w:tc>
        <w:tc>
          <w:tcPr>
            <w:tcW w:type="dxa" w:w="7257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Angaben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biotec GmbH</w:t>
              <w:br/>
            </w:r>
            <w:r>
              <w:rPr>
                <w:b/>
                <w:sz w:val="19"/>
              </w:rPr>
              <w:t>Verantwortlicher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Elbrachtsweg 76, 33332 Gütersloh, Deutschland</w:t>
              <w:br/>
              <w:t>Telefon +49 5241 307 20-0 · info@biotec-gmbh.com</w:t>
              <w:br/>
              <w:t>Amtsgericht Gütersloh, HRB 3829</w:t>
              <w:br/>
              <w:t>vertreten durch: Dr. Andreas Bermpohl, Prokurist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CertoClav Sterilizer GmbH</w:t>
              <w:br/>
            </w:r>
            <w:r>
              <w:rPr>
                <w:b/>
                <w:sz w:val="19"/>
              </w:rPr>
              <w:t>Auftragsverarbeiter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Peintner Straße 10, 4060 Leonding, Österreich</w:t>
              <w:br/>
              <w:t>Telefon +43 732 674 278 · support@certoclav.com</w:t>
              <w:br/>
              <w:t>Firmenbuch: Landesgericht Linz, FN 122912d · UID ATU22821702</w:t>
              <w:br/>
              <w:t>vertreten durch: Michael Simon (geb. Dirix), MSc., Geschäftsführer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Dieser Vertrag ergänzt die Vertraulichkeitsvereinbarung Dok.-Nr. NDA-2026-001 und konkretisiert deren Ziffer 5.2.</w:t>
      </w:r>
    </w:p>
    <w:p>
      <w:pPr>
        <w:spacing w:before="240" w:after="80"/>
      </w:pPr>
      <w:r>
        <w:rPr>
          <w:b/>
          <w:color w:val="1F4E79"/>
          <w:sz w:val="22"/>
        </w:rPr>
        <w:t>1. Gegenstand, Dauer und Weisungsbindung</w:t>
      </w:r>
    </w:p>
    <w:p>
      <w:pPr>
        <w:spacing w:after="100"/>
        <w:ind w:left="624" w:hanging="624"/>
      </w:pPr>
      <w:r>
        <w:rPr>
          <w:b/>
          <w:sz w:val="20"/>
        </w:rPr>
        <w:t>1.1</w:t>
        <w:tab/>
      </w:r>
      <w:r>
        <w:rPr>
          <w:b w:val="0"/>
          <w:sz w:val="20"/>
        </w:rPr>
        <w:t>Gegenstand ist die Verarbeitung personenbezogener Daten durch den Auftragsverarbeiter im Rahmen der Einführung des ERP-Systems Odoo bei biotec – insbesondere Analyse der Altdaten, Datenmigration, Konfiguration, Test und Schulungsvorbereitung.</w:t>
      </w:r>
    </w:p>
    <w:p>
      <w:pPr>
        <w:spacing w:after="100"/>
        <w:ind w:left="624" w:hanging="624"/>
      </w:pPr>
      <w:r>
        <w:rPr>
          <w:b/>
          <w:sz w:val="20"/>
        </w:rPr>
        <w:t>1.2</w:t>
        <w:tab/>
      </w:r>
      <w:r>
        <w:rPr>
          <w:b w:val="0"/>
          <w:sz w:val="20"/>
        </w:rPr>
        <w:t xml:space="preserve">Die Verarbeitung erfolgt ausschließlich </w:t>
      </w:r>
      <w:r>
        <w:rPr>
          <w:b/>
          <w:sz w:val="20"/>
        </w:rPr>
        <w:t>auf dokumentierte Weisung</w:t>
      </w:r>
      <w:r>
        <w:rPr>
          <w:b w:val="0"/>
          <w:sz w:val="20"/>
        </w:rPr>
        <w:t xml:space="preserve"> des Verantwortlichen und ausschließlich zu diesem Zweck. Eine Verarbeitung für eigene Zwecke findet nicht statt.</w:t>
      </w:r>
    </w:p>
    <w:p>
      <w:pPr>
        <w:spacing w:after="100"/>
        <w:ind w:left="624" w:hanging="624"/>
      </w:pPr>
      <w:r>
        <w:rPr>
          <w:b/>
          <w:sz w:val="20"/>
        </w:rPr>
        <w:t>1.3</w:t>
        <w:tab/>
      </w:r>
      <w:r>
        <w:rPr>
          <w:b w:val="0"/>
          <w:sz w:val="20"/>
        </w:rPr>
        <w:t>Der Vertrag beginnt mit Unterzeichnung und endet mit Abschluss des Projekts, spätestens mit Löschung der Daten nach Ziffer 9. Er kann von beiden Seiten jederzeit gekündigt werden.</w:t>
      </w:r>
    </w:p>
    <w:p>
      <w:pPr>
        <w:spacing w:after="100"/>
        <w:ind w:left="624" w:hanging="624"/>
      </w:pPr>
      <w:r>
        <w:rPr>
          <w:b/>
          <w:sz w:val="20"/>
        </w:rPr>
        <w:t>1.4</w:t>
        <w:tab/>
      </w:r>
      <w:r>
        <w:rPr>
          <w:b w:val="0"/>
          <w:sz w:val="20"/>
        </w:rPr>
        <w:t xml:space="preserve">Die Verarbeitung findet </w:t>
      </w:r>
      <w:r>
        <w:rPr>
          <w:b/>
          <w:sz w:val="20"/>
        </w:rPr>
        <w:t>ausschließlich in der Europäischen Union bzw. dem Europäischen Wirtschaftsraum</w:t>
      </w:r>
      <w:r>
        <w:rPr>
          <w:b w:val="0"/>
          <w:sz w:val="20"/>
        </w:rPr>
        <w:t xml:space="preserve"> statt. Eine Übermittlung in Drittländer erfolgt nicht. Sollte sie künftig erforderlich werden, bedarf sie der vorherigen schriftlichen Zustimmung des Verantwortlichen und einer Grundlage nach Art. 44 ff. DSGVO.</w:t>
      </w:r>
    </w:p>
    <w:p>
      <w:pPr>
        <w:spacing w:before="240" w:after="80"/>
      </w:pPr>
      <w:r>
        <w:rPr>
          <w:b/>
          <w:color w:val="1F4E79"/>
          <w:sz w:val="22"/>
        </w:rPr>
        <w:t>2. Art der Daten und Kategorien betroffener Personen</w:t>
      </w:r>
    </w:p>
    <w:p>
      <w:pPr>
        <w:spacing w:after="100"/>
        <w:ind w:left="624" w:hanging="624"/>
      </w:pPr>
      <w:r>
        <w:rPr>
          <w:b/>
          <w:sz w:val="20"/>
        </w:rPr>
        <w:t>2.1</w:t>
        <w:tab/>
      </w:r>
      <w:r>
        <w:rPr>
          <w:b w:val="0"/>
          <w:sz w:val="20"/>
        </w:rPr>
        <w:t>Verarbeitet werden voraussichtlich folgende Datenarten:</w:t>
      </w:r>
    </w:p>
    <w:p>
      <w:pPr>
        <w:spacing w:after="40"/>
        <w:ind w:left="907"/>
      </w:pPr>
      <w:r>
        <w:rPr>
          <w:b w:val="0"/>
          <w:i w:val="0"/>
          <w:sz w:val="20"/>
        </w:rPr>
        <w:t>– Kontaktdaten von Ansprechpartnern bei Kunden und Lieferanten: Name, Funktion, Anschrift, Telefon, E-Mail</w:t>
      </w:r>
    </w:p>
    <w:p>
      <w:pPr>
        <w:spacing w:after="40"/>
        <w:ind w:left="907"/>
      </w:pPr>
      <w:r>
        <w:rPr>
          <w:b w:val="0"/>
          <w:i w:val="0"/>
          <w:sz w:val="20"/>
        </w:rPr>
        <w:t>– Daten zu Aufträgen, Anlagen, Prüfungen und Gutachten, soweit einer Person zuordenbar</w:t>
      </w:r>
    </w:p>
    <w:p>
      <w:pPr>
        <w:spacing w:after="40"/>
        <w:ind w:left="907"/>
      </w:pPr>
      <w:r>
        <w:rPr>
          <w:b w:val="0"/>
          <w:i w:val="0"/>
          <w:sz w:val="20"/>
        </w:rPr>
        <w:t>– Teilnehmerdaten aus Schulungen: Name, Unternehmen, Kursteilnahme, Bescheinigungen</w:t>
      </w:r>
    </w:p>
    <w:p>
      <w:pPr>
        <w:spacing w:after="40"/>
        <w:ind w:left="907"/>
      </w:pPr>
      <w:r>
        <w:rPr>
          <w:b w:val="0"/>
          <w:i w:val="0"/>
          <w:sz w:val="20"/>
        </w:rPr>
        <w:t>– Beschäftigtendaten in dem Umfang, der für Odoo-Nutzerkonten und Zeiterfassung erforderlich ist: Name, Rolle, Standort, dienstliche Kontaktdaten</w:t>
      </w:r>
    </w:p>
    <w:p>
      <w:pPr>
        <w:spacing w:after="40"/>
        <w:ind w:left="907"/>
      </w:pPr>
      <w:r>
        <w:rPr>
          <w:b w:val="0"/>
          <w:i w:val="0"/>
          <w:sz w:val="20"/>
        </w:rPr>
        <w:t>– Zahlungs- und Abrechnungsdaten, soweit personenbezogen</w:t>
      </w:r>
    </w:p>
    <w:p>
      <w:pPr>
        <w:spacing w:after="100"/>
        <w:ind w:left="624" w:hanging="624"/>
      </w:pPr>
      <w:r>
        <w:rPr>
          <w:b/>
          <w:sz w:val="20"/>
        </w:rPr>
        <w:t>2.2</w:t>
        <w:tab/>
      </w:r>
      <w:r>
        <w:rPr>
          <w:b w:val="0"/>
          <w:sz w:val="20"/>
        </w:rPr>
        <w:t>Kategorien betroffener Personen: Ansprechpartner bei Kunden und Lieferanten, Schulungsteilnehmende, Beschäftigte von biotec.</w:t>
      </w:r>
    </w:p>
    <w:p>
      <w:pPr>
        <w:spacing w:after="100"/>
        <w:ind w:left="624" w:hanging="624"/>
      </w:pPr>
      <w:r>
        <w:rPr>
          <w:b/>
          <w:sz w:val="20"/>
        </w:rPr>
        <w:t>2.3</w:t>
        <w:tab/>
      </w:r>
      <w:r>
        <w:rPr>
          <w:b/>
          <w:sz w:val="20"/>
        </w:rPr>
        <w:t>Besondere Kategorien personenbezogener Daten nach Art. 9 DSGVO sind nicht Gegenstand dieses Vertrags.</w:t>
      </w:r>
      <w:r>
        <w:rPr>
          <w:b w:val="0"/>
          <w:sz w:val="20"/>
        </w:rPr>
        <w:t xml:space="preserve"> Der Verantwortliche stellt sicher, dass solche Daten – etwa Gesundheits- oder Personalaktendaten – nicht übermittelt werden, solange die Parteien hierzu nichts Abweichendes schriftlich vereinbaren.</w:t>
      </w:r>
    </w:p>
    <w:p>
      <w:pPr>
        <w:spacing w:after="100"/>
        <w:ind w:left="624" w:hanging="624"/>
      </w:pPr>
      <w:r>
        <w:rPr>
          <w:b/>
          <w:sz w:val="20"/>
        </w:rPr>
        <w:t>2.4</w:t>
        <w:tab/>
      </w:r>
      <w:r>
        <w:rPr>
          <w:b/>
          <w:sz w:val="20"/>
        </w:rPr>
        <w:t>Nicht personenbezogene Daten sind nicht Gegenstand dieses Vertrags.</w:t>
      </w:r>
      <w:r>
        <w:rPr>
          <w:b w:val="0"/>
          <w:sz w:val="20"/>
        </w:rPr>
        <w:t xml:space="preserve"> Dazu gehören insbesondere technische Anlagen- und Objektdaten, Artikel- und Materialstamm, Kontenrahmen und Buchungsdaten ohne Personenbezug, Prüfpläne und Analysemethoden sowie Datenbankstrukturen und Quellcode der Altanwendung. Für diese gilt die Vertraulichkeitsvereinbarung NDA-2026-001.</w:t>
      </w:r>
    </w:p>
    <w:p>
      <w:pPr>
        <w:spacing w:before="240" w:after="80"/>
      </w:pPr>
      <w:r>
        <w:rPr>
          <w:b/>
          <w:color w:val="1F4E79"/>
          <w:sz w:val="22"/>
        </w:rPr>
        <w:t>3. Pflichten des Auftragsverarbeiters</w:t>
      </w:r>
    </w:p>
    <w:p>
      <w:pPr>
        <w:spacing w:after="100"/>
        <w:ind w:left="624" w:hanging="624"/>
      </w:pPr>
      <w:r>
        <w:rPr>
          <w:b/>
          <w:sz w:val="20"/>
        </w:rPr>
        <w:t>3.1</w:t>
        <w:tab/>
      </w:r>
      <w:r>
        <w:rPr>
          <w:b w:val="0"/>
          <w:sz w:val="20"/>
        </w:rPr>
        <w:t>Der Auftragsverarbeiter verarbeitet die Daten nur im Rahmen des Auftrags und dieses Vertrags. Hält er eine Weisung für rechtswidrig, teilt er dies unverzüglich mit und darf deren Ausführung aussetzen.</w:t>
      </w:r>
    </w:p>
    <w:p>
      <w:pPr>
        <w:spacing w:after="100"/>
        <w:ind w:left="624" w:hanging="624"/>
      </w:pPr>
      <w:r>
        <w:rPr>
          <w:b/>
          <w:sz w:val="20"/>
        </w:rPr>
        <w:t>3.2</w:t>
        <w:tab/>
      </w:r>
      <w:r>
        <w:rPr>
          <w:b w:val="0"/>
          <w:sz w:val="20"/>
        </w:rPr>
        <w:t>Zum Zugriff berechtigt sind nur Personen, die die Daten für den Zweck benötigen. Diese Personen sind zur Vertraulichkeit verpflichtet; die Verpflichtung besteht über das Ende ihrer Tätigkeit hinaus.</w:t>
      </w:r>
    </w:p>
    <w:p>
      <w:pPr>
        <w:spacing w:after="100"/>
        <w:ind w:left="624" w:hanging="624"/>
      </w:pPr>
      <w:r>
        <w:rPr>
          <w:b/>
          <w:sz w:val="20"/>
        </w:rPr>
        <w:t>3.3</w:t>
        <w:tab/>
      </w:r>
      <w:r>
        <w:rPr>
          <w:b w:val="0"/>
          <w:sz w:val="20"/>
        </w:rPr>
        <w:t>Der Auftragsverarbeiter unterhält die in Anlage 1 beschriebenen technischen und organisatorischen Maßnahmen nach Art. 32 DSGVO und passt sie bei Bedarf an, ohne das Schutzniveau zu senken.</w:t>
      </w:r>
    </w:p>
    <w:p>
      <w:pPr>
        <w:spacing w:after="100"/>
        <w:ind w:left="624" w:hanging="624"/>
      </w:pPr>
      <w:r>
        <w:rPr>
          <w:b/>
          <w:sz w:val="20"/>
        </w:rPr>
        <w:t>3.4</w:t>
        <w:tab/>
      </w:r>
      <w:r>
        <w:rPr>
          <w:b w:val="0"/>
          <w:sz w:val="20"/>
        </w:rPr>
        <w:t>Er unterstützt den Verantwortlichen bei der Beantwortung von Anfragen betroffener Personen nach Art. 15 bis 22 DSGVO sowie bei Datenschutz-Folgenabschätzungen und Meldungen an Aufsichtsbehörden.</w:t>
      </w:r>
    </w:p>
    <w:p>
      <w:pPr>
        <w:spacing w:after="100"/>
        <w:ind w:left="624" w:hanging="624"/>
      </w:pPr>
      <w:r>
        <w:rPr>
          <w:b/>
          <w:sz w:val="20"/>
        </w:rPr>
        <w:t>3.5</w:t>
        <w:tab/>
      </w:r>
      <w:r>
        <w:rPr>
          <w:b/>
          <w:sz w:val="20"/>
        </w:rPr>
        <w:t>Verletzungen des Schutzes personenbezogener Daten</w:t>
      </w:r>
      <w:r>
        <w:rPr>
          <w:b w:val="0"/>
          <w:sz w:val="20"/>
        </w:rPr>
        <w:t xml:space="preserve"> meldet er dem Verantwortlichen unverzüglich, spätestens innerhalb von </w:t>
      </w:r>
      <w:r>
        <w:rPr>
          <w:b/>
          <w:sz w:val="20"/>
        </w:rPr>
        <w:t>24 Stunden</w:t>
      </w:r>
      <w:r>
        <w:rPr>
          <w:b w:val="0"/>
          <w:sz w:val="20"/>
        </w:rPr>
        <w:t xml:space="preserve"> nach Kenntnis, mit Beschreibung des Vorfalls, der betroffenen Datenkategorien und der getroffenen Maßnahmen.</w:t>
      </w:r>
    </w:p>
    <w:p>
      <w:pPr>
        <w:spacing w:after="100"/>
        <w:ind w:left="624" w:hanging="624"/>
      </w:pPr>
      <w:r>
        <w:rPr>
          <w:b/>
          <w:sz w:val="20"/>
        </w:rPr>
        <w:t>3.6</w:t>
        <w:tab/>
      </w:r>
      <w:r>
        <w:rPr>
          <w:b w:val="0"/>
          <w:sz w:val="20"/>
        </w:rPr>
        <w:t>Er führt ein Verzeichnis der im Auftrag durchgeführten Verarbeitungstätigkeiten und benennt eine Kontaktstelle für Datenschutzfragen: michael.simon@certoclav.com.</w:t>
      </w:r>
    </w:p>
    <w:p>
      <w:r>
        <w:br w:type="page"/>
      </w:r>
    </w:p>
    <w:p>
      <w:pPr>
        <w:spacing w:before="240" w:after="80"/>
      </w:pPr>
      <w:r>
        <w:rPr>
          <w:b/>
          <w:color w:val="1F4E79"/>
          <w:sz w:val="22"/>
        </w:rPr>
        <w:t>4. Unterauftragsverarbeiter</w:t>
      </w:r>
    </w:p>
    <w:p>
      <w:pPr>
        <w:spacing w:after="100"/>
        <w:ind w:left="624" w:hanging="624"/>
      </w:pPr>
      <w:r>
        <w:rPr>
          <w:b/>
          <w:sz w:val="20"/>
        </w:rPr>
        <w:t>4.1</w:t>
        <w:tab/>
      </w:r>
      <w:r>
        <w:rPr>
          <w:b w:val="0"/>
          <w:sz w:val="20"/>
        </w:rPr>
        <w:t xml:space="preserve">Der Verantwortliche genehmigt die in </w:t>
      </w:r>
      <w:r>
        <w:rPr>
          <w:b/>
          <w:sz w:val="20"/>
        </w:rPr>
        <w:t>Anlage 2</w:t>
      </w:r>
      <w:r>
        <w:rPr>
          <w:b w:val="0"/>
          <w:sz w:val="20"/>
        </w:rPr>
        <w:t xml:space="preserve"> aufgeführten Unterauftragsverarbeiter.</w:t>
      </w:r>
    </w:p>
    <w:p>
      <w:pPr>
        <w:spacing w:after="100"/>
        <w:ind w:left="624" w:hanging="624"/>
      </w:pPr>
      <w:r>
        <w:rPr>
          <w:b/>
          <w:sz w:val="20"/>
        </w:rPr>
        <w:t>4.2</w:t>
        <w:tab/>
      </w:r>
      <w:r>
        <w:rPr>
          <w:b w:val="0"/>
          <w:sz w:val="20"/>
        </w:rPr>
        <w:t xml:space="preserve">Weitere Unterauftragsverarbeiter werden dem Verantwortlichen vorab schriftlich mitgeteilt. Er kann innerhalb von </w:t>
      </w:r>
      <w:r>
        <w:rPr>
          <w:b/>
          <w:sz w:val="20"/>
        </w:rPr>
        <w:t>14 Tagen</w:t>
      </w:r>
      <w:r>
        <w:rPr>
          <w:b w:val="0"/>
          <w:sz w:val="20"/>
        </w:rPr>
        <w:t xml:space="preserve"> widersprechen; im Fall eines Widerspruchs suchen die Parteien eine Lösung, andernfalls kann der betroffene Leistungsteil gekündigt werden.</w:t>
      </w:r>
    </w:p>
    <w:p>
      <w:pPr>
        <w:spacing w:after="100"/>
        <w:ind w:left="624" w:hanging="624"/>
      </w:pPr>
      <w:r>
        <w:rPr>
          <w:b/>
          <w:sz w:val="20"/>
        </w:rPr>
        <w:t>4.3</w:t>
        <w:tab/>
      </w:r>
      <w:r>
        <w:rPr>
          <w:b w:val="0"/>
          <w:sz w:val="20"/>
        </w:rPr>
        <w:t>Der Auftragsverarbeiter verpflichtet jeden Unterauftragsverarbeiter schriftlich auf ein Schutzniveau, das diesem Vertrag mindestens entspricht, und bleibt gegenüber dem Verantwortlichen verantwortlich.</w:t>
      </w:r>
    </w:p>
    <w:p>
      <w:pPr>
        <w:spacing w:after="100"/>
        <w:ind w:left="624" w:hanging="624"/>
      </w:pPr>
      <w:r>
        <w:rPr>
          <w:b/>
          <w:sz w:val="20"/>
        </w:rPr>
        <w:t>4.4</w:t>
        <w:tab/>
      </w:r>
      <w:r>
        <w:rPr>
          <w:b/>
          <w:sz w:val="20"/>
        </w:rPr>
        <w:t>Eine Verarbeitung personenbezogener Daten durch KI-Dienste findet nicht statt.</w:t>
      </w:r>
      <w:r>
        <w:rPr>
          <w:b w:val="0"/>
          <w:sz w:val="20"/>
        </w:rPr>
        <w:t xml:space="preserve"> Soweit der Auftragsverarbeiter KI-gestützte Werkzeuge zur Erstellung von Konfigurationen, Feldzuordnungen und Auswertungslogik einsetzt, geschieht dies ausschließlich anhand von Strukturinformationen – Feldbezeichnungen, Datentypen, Formatbeschreibungen – ohne personenbezogene Daten. Die Übernahme der Datenbestände selbst erfolgt über Skripte innerhalb der in Anlage 2 genannten Umgebungen.</w:t>
      </w:r>
    </w:p>
    <w:p>
      <w:pPr>
        <w:spacing w:before="240" w:after="80"/>
      </w:pPr>
      <w:r>
        <w:rPr>
          <w:b/>
          <w:color w:val="1F4E79"/>
          <w:sz w:val="22"/>
        </w:rPr>
        <w:t>5. Kontrollrechte</w:t>
      </w:r>
    </w:p>
    <w:p>
      <w:pPr>
        <w:spacing w:after="100"/>
        <w:ind w:left="624" w:hanging="624"/>
      </w:pPr>
      <w:r>
        <w:rPr>
          <w:b/>
          <w:sz w:val="20"/>
        </w:rPr>
        <w:t>5.1</w:t>
        <w:tab/>
      </w:r>
      <w:r>
        <w:rPr>
          <w:b w:val="0"/>
          <w:sz w:val="20"/>
        </w:rPr>
        <w:t>Der Verantwortliche darf die Einhaltung dieses Vertrags überprüfen – durch Auskunftsverlangen, Vorlage von Nachweisen oder, nach angemessener Vorankündigung, durch Prüfung vor Ort während der Geschäftszeiten.</w:t>
      </w:r>
    </w:p>
    <w:p>
      <w:pPr>
        <w:spacing w:after="100"/>
        <w:ind w:left="624" w:hanging="624"/>
      </w:pPr>
      <w:r>
        <w:rPr>
          <w:b/>
          <w:sz w:val="20"/>
        </w:rPr>
        <w:t>5.2</w:t>
        <w:tab/>
      </w:r>
      <w:r>
        <w:rPr>
          <w:b w:val="0"/>
          <w:sz w:val="20"/>
        </w:rPr>
        <w:t>Der Auftragsverarbeiter wirkt bei Prüfungen mit und stellt die erforderlichen Auskünfte und Nachweise bereit.</w:t>
      </w:r>
    </w:p>
    <w:p>
      <w:pPr>
        <w:spacing w:before="240" w:after="80"/>
      </w:pPr>
      <w:r>
        <w:rPr>
          <w:b/>
          <w:color w:val="1F4E79"/>
          <w:sz w:val="22"/>
        </w:rPr>
        <w:t>6. Ort der Verarbeitung und eingesetzte Systeme</w:t>
      </w:r>
    </w:p>
    <w:p>
      <w:pPr>
        <w:spacing w:after="100"/>
        <w:ind w:left="624" w:hanging="624"/>
      </w:pPr>
      <w:r>
        <w:rPr>
          <w:b/>
          <w:sz w:val="20"/>
        </w:rPr>
        <w:t>6.1</w:t>
        <w:tab/>
      </w:r>
      <w:r>
        <w:rPr>
          <w:b w:val="0"/>
          <w:sz w:val="20"/>
        </w:rPr>
        <w:t>Die Daten werden auf zugriffsbeschränkten Systemen des Auftragsverarbeiters sowie in den in Anlage 2 genannten Diensten verarbeitet.</w:t>
      </w:r>
    </w:p>
    <w:p>
      <w:pPr>
        <w:spacing w:after="100"/>
        <w:ind w:left="624" w:hanging="624"/>
      </w:pPr>
      <w:r>
        <w:rPr>
          <w:b/>
          <w:sz w:val="20"/>
        </w:rPr>
        <w:t>6.2</w:t>
        <w:tab/>
      </w:r>
      <w:r>
        <w:rPr>
          <w:b w:val="0"/>
          <w:sz w:val="20"/>
        </w:rPr>
        <w:t>Datenbanksicherungen und der Quellcode der Altanwendung werden getrennt von der übrigen Projektdokumentation und ohne Ablage in einem Versionsverwaltungssystem aufbewahrt.</w:t>
      </w:r>
    </w:p>
    <w:p>
      <w:pPr>
        <w:spacing w:before="240" w:after="80"/>
      </w:pPr>
      <w:r>
        <w:rPr>
          <w:b/>
          <w:color w:val="1F4E79"/>
          <w:sz w:val="22"/>
        </w:rPr>
        <w:t>7. Berichtigung, Einschränkung, Löschung</w:t>
      </w:r>
    </w:p>
    <w:p>
      <w:pPr>
        <w:spacing w:after="100"/>
        <w:ind w:left="624" w:hanging="624"/>
      </w:pPr>
      <w:r>
        <w:rPr>
          <w:b/>
          <w:sz w:val="20"/>
        </w:rPr>
        <w:t>7.1</w:t>
        <w:tab/>
      </w:r>
      <w:r>
        <w:rPr>
          <w:b w:val="0"/>
          <w:sz w:val="20"/>
        </w:rPr>
        <w:t>Der Auftragsverarbeiter berichtigt, löscht oder schränkt die Verarbeitung nur auf Weisung des Verantwortlichen ein.</w:t>
      </w:r>
    </w:p>
    <w:p>
      <w:pPr>
        <w:spacing w:after="100"/>
        <w:ind w:left="624" w:hanging="624"/>
      </w:pPr>
      <w:r>
        <w:rPr>
          <w:b/>
          <w:sz w:val="20"/>
        </w:rPr>
        <w:t>7.2</w:t>
        <w:tab/>
      </w:r>
      <w:r>
        <w:rPr>
          <w:b w:val="0"/>
          <w:sz w:val="20"/>
        </w:rPr>
        <w:t>Auskunft an betroffene Personen erteilt er nicht selbst, sondern verweist an den Verantwortlichen und unterstützt ihn.</w:t>
      </w:r>
    </w:p>
    <w:p>
      <w:pPr>
        <w:spacing w:before="240" w:after="80"/>
      </w:pPr>
      <w:r>
        <w:rPr>
          <w:b/>
          <w:color w:val="1F4E79"/>
          <w:sz w:val="22"/>
        </w:rPr>
        <w:t>8. Haftung</w:t>
      </w:r>
    </w:p>
    <w:p>
      <w:pPr>
        <w:spacing w:after="100"/>
        <w:ind w:left="624" w:hanging="624"/>
      </w:pPr>
      <w:r>
        <w:rPr>
          <w:b/>
          <w:sz w:val="20"/>
        </w:rPr>
        <w:t>8.1</w:t>
        <w:tab/>
      </w:r>
      <w:r>
        <w:rPr>
          <w:b w:val="0"/>
          <w:sz w:val="20"/>
        </w:rPr>
        <w:t>Es gilt Art. 82 DSGVO. Im Übrigen richtet sich die Haftung nach den Vereinbarungen des zugrunde liegenden Vertragsverhältnisses.</w:t>
      </w:r>
    </w:p>
    <w:p>
      <w:pPr>
        <w:spacing w:before="240" w:after="80"/>
      </w:pPr>
      <w:r>
        <w:rPr>
          <w:b/>
          <w:color w:val="1F4E79"/>
          <w:sz w:val="22"/>
        </w:rPr>
        <w:t>9. Beendigung, Löschung und Rückgabe</w:t>
      </w:r>
    </w:p>
    <w:p>
      <w:pPr>
        <w:spacing w:after="100"/>
        <w:ind w:left="624" w:hanging="624"/>
      </w:pPr>
      <w:r>
        <w:rPr>
          <w:b/>
          <w:sz w:val="20"/>
        </w:rPr>
        <w:t>9.1</w:t>
        <w:tab/>
      </w:r>
      <w:r>
        <w:rPr>
          <w:b w:val="0"/>
          <w:sz w:val="20"/>
        </w:rPr>
        <w:t>Nach Abschluss des Projekts – oder auf früheres Verlangen – gibt der Auftragsverarbeiter alle personenbezogenen Daten zurück oder löscht sie einschließlich Kopien und bestätigt dies schriftlich.</w:t>
      </w:r>
    </w:p>
    <w:p>
      <w:pPr>
        <w:spacing w:after="100"/>
        <w:ind w:left="624" w:hanging="624"/>
      </w:pPr>
      <w:r>
        <w:rPr>
          <w:b/>
          <w:sz w:val="20"/>
        </w:rPr>
        <w:t>9.2</w:t>
        <w:tab/>
      </w:r>
      <w:r>
        <w:rPr>
          <w:b w:val="0"/>
          <w:sz w:val="20"/>
        </w:rPr>
        <w:t>Ausgenommen sind Daten, für die eine gesetzliche Aufbewahrungspflicht besteht, sowie Sicherungskopien aus automatisierten Backup-Verfahren, die nach den regulären Aufbewahrungsfristen auslaufen. Für diese gelten die Pflichten dieses Vertrags fort.</w:t>
      </w:r>
    </w:p>
    <w:p>
      <w:pPr>
        <w:spacing w:before="240" w:after="80"/>
      </w:pPr>
      <w:r>
        <w:rPr>
          <w:b/>
          <w:color w:val="1F4E79"/>
          <w:sz w:val="22"/>
        </w:rPr>
        <w:t>10. Schlussbestimmungen</w:t>
      </w:r>
    </w:p>
    <w:p>
      <w:pPr>
        <w:spacing w:after="100"/>
        <w:ind w:left="624" w:hanging="624"/>
      </w:pPr>
      <w:r>
        <w:rPr>
          <w:b/>
          <w:sz w:val="20"/>
        </w:rPr>
        <w:t>10.1</w:t>
        <w:tab/>
      </w:r>
      <w:r>
        <w:rPr>
          <w:b w:val="0"/>
          <w:sz w:val="20"/>
        </w:rPr>
        <w:t>Änderungen bedürfen der Schriftform. Bei Widersprüchen zwischen diesem Vertrag und der Vertraulichkeitsvereinbarung gilt für den Datenschutz dieser Vertrag.</w:t>
      </w:r>
    </w:p>
    <w:p>
      <w:pPr>
        <w:spacing w:after="100"/>
        <w:ind w:left="624" w:hanging="624"/>
      </w:pPr>
      <w:r>
        <w:rPr>
          <w:b/>
          <w:sz w:val="20"/>
        </w:rPr>
        <w:t>10.2</w:t>
        <w:tab/>
      </w:r>
      <w:r>
        <w:rPr>
          <w:b w:val="0"/>
          <w:sz w:val="20"/>
        </w:rPr>
        <w:t>Sollte eine Bestimmung unwirksam sein, bleibt der Vertrag im Übrigen wirksam.</w:t>
      </w:r>
    </w:p>
    <w:p>
      <w:pPr>
        <w:spacing w:after="100"/>
        <w:ind w:left="624" w:hanging="624"/>
      </w:pPr>
      <w:r>
        <w:rPr>
          <w:b/>
          <w:sz w:val="20"/>
        </w:rPr>
        <w:t>10.3</w:t>
        <w:tab/>
      </w:r>
      <w:r>
        <w:rPr>
          <w:b w:val="0"/>
          <w:sz w:val="20"/>
        </w:rPr>
        <w:t>Es gilt das Recht der Bundesrepublik Deutschland. Ausschließlicher Gerichtsstand ist Gütersloh.</w:t>
      </w:r>
    </w:p>
    <w:p>
      <w:pPr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Unterschriften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biotec GmbH – Verantwortlicher</w:t>
            </w:r>
          </w:p>
        </w:tc>
        <w:tc>
          <w:tcPr>
            <w:tcW w:type="dxa" w:w="481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CertoClav Sterilizer GmbH – Auftragsverarbeiter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9"/>
              </w:rPr>
              <w:br/>
              <w:br/>
              <w:t>Ort, Datum</w:t>
              <w:br/>
              <w:br/>
              <w:br/>
              <w:br/>
              <w:br/>
              <w:t>________________________________</w:t>
              <w:br/>
              <w:t>Dr. Andreas Bermpohl</w:t>
              <w:br/>
              <w:t>Prokurist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9"/>
              </w:rPr>
              <w:br/>
              <w:br/>
              <w:t>Ort, Datum</w:t>
              <w:br/>
              <w:br/>
              <w:br/>
              <w:br/>
              <w:br/>
              <w:t>________________________________</w:t>
              <w:br/>
              <w:t>Michael Simon (geb. Dirix), MSc.</w:t>
              <w:br/>
              <w:t>Geschäftsführer</w:t>
            </w:r>
          </w:p>
        </w:tc>
      </w:tr>
    </w:tbl>
    <w:p>
      <w:r>
        <w:br w:type="page"/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ART. 32 DSGVO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Anlage 1 · Technische und organisatorische Maßnahmen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8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Bereich</w:t>
            </w:r>
          </w:p>
        </w:tc>
        <w:tc>
          <w:tcPr>
            <w:tcW w:type="dxa" w:w="7030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Maßnahmen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Zutrittskontrolle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Geschäftsräume mit Zutrittsbeschränkung; Serverräume nur für berechtigtes Personal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Zugangskontrolle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Persönliche Benutzerkonten, keine gemeinsam genutzten Zugänge; Mehrfaktor-Authentifizierung für Cloud-Dienste; Bildschirmsperre; verschlüsselte Festplatten der Endgeräte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Zugriffskontrolle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Rechtevergabe nach dem Prinzip der geringsten Rechte; Zugriff nur für Projektbeteiligte; Service-Benutzer ohne Recht zur Finalbuchung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Weitergabekontrolle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Übertragung ausschließlich verschlüsselt (TLS); Austausch über einen zugriffsbeschränkten Projektordner statt per E-Mail-Anhang; keine Ablage von Kundendaten in Versionsverwaltungssystemen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Eingabekontrolle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Protokollierung von Änderungen in Odoo; Lieferprotokoll je Datenlieferung; Nachvollziehbarkeit der Migrationsschritte über dokumentierte Feldzuordnungen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Verfügbarkeitskontrolle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Regelmäßige Sicherungen; Wiederherstellung getestet; Virenschutz und Firewall; Aktualisierung der Systeme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Trennungskontrolle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Projektdaten getrennt von anderen Mandanten und von der eigenen Produktivumgebung von CertoClav; Test- und Produktivumgebung getrennt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Löschkonzept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Löschung nach Projektabschluss gemäß Ziffer 9; Datenbanksicherungen und Quellcode gesondert und nachweislich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Organisation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Verpflichtung der Mitarbeitenden auf Vertraulichkeit; Kontaktstelle für Datenschutzfragen benannt; Verzeichnis der Verarbeitungstätigkeiten</w:t>
            </w:r>
          </w:p>
        </w:tc>
      </w:tr>
    </w:tbl>
    <w:p>
      <w:pPr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Anlage 2 · Unterauftragsverarbeiter</w:t>
      </w:r>
    </w:p>
    <w:p>
      <w:pPr>
        <w:spacing w:after="120"/>
      </w:pPr>
      <w:r>
        <w:rPr>
          <w:b w:val="0"/>
          <w:i w:val="0"/>
          <w:sz w:val="20"/>
        </w:rPr>
        <w:t>Der Verantwortliche genehmigt mit Unterzeichnung die folgenden Unterauftragsverarbeiter. Alle Verarbeitungen finden in der EU bzw. im EWR statt.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Dienstleister</w:t>
            </w:r>
          </w:p>
        </w:tc>
        <w:tc>
          <w:tcPr>
            <w:tcW w:type="dxa" w:w="2835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Leistung</w:t>
            </w:r>
          </w:p>
        </w:tc>
        <w:tc>
          <w:tcPr>
            <w:tcW w:type="dxa" w:w="181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Ort der Verarbeitung</w:t>
            </w:r>
          </w:p>
        </w:tc>
        <w:tc>
          <w:tcPr>
            <w:tcW w:type="dxa" w:w="249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Grundlage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Microsoft Ireland Operations Ltd.</w:t>
              <w:br/>
              <w:t>One Microsoft Place, Dublin, Irland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OneDrive und SharePoint – Austausch und Ablage der Projektunterlagen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EU/EWR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Auftragsverarbeitungsvertrag von Microsoft (Data Protection Addendum), EU-Datengrenze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Odoo S.A.</w:t>
              <w:br/>
              <w:t>Chaussée de Namur 40, 1367 Grand-Rosière, Belgien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Betrieb und Hosting der Odoo-Umgebung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EU/EWR (Belgien)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Auftragsverarbeitungsvertrag von Odoo S.A.</w:t>
            </w:r>
          </w:p>
        </w:tc>
      </w:tr>
    </w:tbl>
    <w:p>
      <w:pPr>
        <w:spacing w:after="120"/>
      </w:pPr>
      <w:r>
        <w:rPr>
          <w:b/>
          <w:i w:val="0"/>
          <w:sz w:val="20"/>
        </w:rPr>
        <w:t>Nicht als Unterauftragsverarbeiter eingesetzt:</w:t>
      </w:r>
      <w:r>
        <w:rPr>
          <w:b w:val="0"/>
          <w:i w:val="0"/>
          <w:sz w:val="20"/>
        </w:rPr>
        <w:t xml:space="preserve"> KI-Dienste. Personenbezogene Daten werden nicht durch KI-Dienste verarbeitet – siehe Ziffer 4.4.</w:t>
      </w:r>
    </w:p>
    <w:p>
      <w:pPr>
        <w:spacing w:after="120"/>
      </w:pPr>
      <w:r>
        <w:rPr>
          <w:b w:val="0"/>
          <w:i/>
          <w:sz w:val="19"/>
        </w:rPr>
        <w:t>Wird die Odoo-Umgebung auf eigener Infrastruktur von biotec betrieben, entfällt die Zeile zu Odoo S.A. Weitere Unterauftragsverarbeiter kommen nur nach dem Verfahren in Ziffer 4.2 hinzu.</w:t>
      </w:r>
    </w:p>
    <w:p>
      <w:pPr>
        <w:spacing w:before="280"/>
      </w:pPr>
      <w:r>
        <w:rPr>
          <w:color w:val="7F7F7F"/>
          <w:sz w:val="19"/>
        </w:rPr>
        <w:t>Kontaktstelle Datenschutz beim Auftragsverarbeiter: Michael Simon, michael.simon@certoclav.com, +43 732 674 278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color w:val="7F7F7F"/>
        <w:sz w:val="13"/>
      </w:rPr>
      <w:t>CertoClav Sterilizer GmbH  ·  Peintner Straße 10, 4060 Leonding, Österreich  ·  Geschäftsführer: Michael Simon (geb. Dirix), MSc.</w:t>
    </w:r>
  </w:p>
  <w:p>
    <w:pPr>
      <w:spacing w:after="0"/>
      <w:jc w:val="center"/>
    </w:pPr>
    <w:r>
      <w:rPr>
        <w:color w:val="7F7F7F"/>
        <w:sz w:val="13"/>
      </w:rPr>
      <w:t>Firmenbuch: Landesgericht Linz, FN 122912d  ·  UID ATU22821702  ·  Tel. +43 732 674 278  ·  support@certoclav.com  ·  www.certoclav.com</w:t>
    </w:r>
  </w:p>
  <w:p>
    <w:pPr>
      <w:spacing w:before="40"/>
      <w:jc w:val="center"/>
    </w:pPr>
    <w:r>
      <w:rPr>
        <w:color w:val="7F7F7F"/>
        <w:sz w:val="14"/>
      </w:rPr>
      <w:t xml:space="preserve">Seite </w:t>
    </w:r>
    <w:fldSimple w:instr="PAGE">
      <w:r>
        <w:t>1</w:t>
      </w:r>
    </w:fldSimple>
    <w:r>
      <w:rPr>
        <w:color w:val="7F7F7F"/>
        <w:sz w:val="14"/>
      </w:rPr>
      <w:t xml:space="preserve"> von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FBFBF"/>
      </w:pBdr>
    </w:pPr>
    <w:r/>
    <w:r>
      <w:rPr>
        <w:b/>
        <w:color w:val="1F4E79"/>
        <w:sz w:val="16"/>
      </w:rPr>
      <w:t>CERTOCLAV CONSULTING</w:t>
    </w:r>
    <w:r>
      <w:rPr>
        <w:color w:val="7F7F7F"/>
        <w:sz w:val="16"/>
      </w:rPr>
      <w:tab/>
      <w:t>Auftragsverarbeitung  ·  Dok.-Nr. AVV-2026-001  ·  Version 1, Stand 20.08.2026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