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8"/>
          <w:sz w:val="40"/>
          <w:szCs w:val="40"/>
        </w:rPr>
        <w:t xml:space="preserve">POC-/WIP-Umsatzrealisierung in Odoo</w:t>
      </w:r>
    </w:p>
    <w:p>
      <w:pPr>
        <w:spacing w:after="40"/>
      </w:pPr>
      <w:r>
        <w:rPr>
          <w:color w:val="555555"/>
          <w:sz w:val="26"/>
          <w:szCs w:val="26"/>
        </w:rPr>
        <w:t xml:space="preserve">Prozess, praxisnahes Beispiel &amp; Architektur</w:t>
      </w:r>
    </w:p>
    <w:p>
      <w:pPr>
        <w:spacing w:after="240"/>
      </w:pPr>
      <w:r>
        <w:rPr>
          <w:i/>
          <w:iCs/>
          <w:color w:val="555555"/>
          <w:sz w:val="20"/>
          <w:szCs w:val="20"/>
        </w:rPr>
        <w:t xml:space="preserve">Vorbereitet für biotec GmbH (Certania-Gruppe)</w:t>
      </w:r>
    </w:p>
    <w:p>
      <w:pPr>
        <w:pBdr>
          <w:bottom w:val="single" w:color="1F4E78" w:sz="12" w:space="1"/>
        </w:pBdr>
      </w:pPr>
      <w:r>
        <w:t xml:space="preserve"/>
      </w:r>
    </w:p>
    <w:p>
      <w:pPr>
        <w:pStyle w:val="Heading1"/>
        <w:spacing w:after="120" w:before="280"/>
      </w:pPr>
      <w:r>
        <w:rPr>
          <w:color w:val="1F4E78"/>
        </w:rPr>
        <w:t xml:space="preserve">1. Worum es geht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Bei projektbasierten Dienstleistungen, die über mehrere Monate laufen, stellt sich die Frage: Wann und wie viel Umsatz und Gewinn dürfen in die Bücher – und wie wird bereits erbrachte, aber noch nicht fakturierte Leistung in der Bilanz sichtbar?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POC (Percentage of Completion / „nach Fertigstellungsgrad") bildet Umsatz und Ergebnis anteilig zum Projektfortschritt ab, statt erst am Projektende. Die noch nicht abgerechnete Leistung wird als WIP („Work in Progress" / unfertige Leistungen) in der Bilanz aktiviert. So spiegeln die Zahlen unterjährig den tatsächlichen Stand – ohne Excel-Sammelaktion am Monatsende.</w:t>
      </w:r>
    </w:p>
    <w:p>
      <w:pPr>
        <w:pStyle w:val="Heading2"/>
        <w:spacing w:after="80" w:before="200"/>
      </w:pPr>
      <w:r>
        <w:rPr>
          <w:color w:val="1F4E78"/>
        </w:rPr>
        <w:t xml:space="preserve">Die drei Kernbegriffe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Fertigstellungsgrad (cost-to-cost): angefallene Kosten ÷ voraussichtliche Gesamtkosten.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WIP-Aktivierung: bereits erbrachte, noch nicht fakturierte Leistung wird als Vermögenswert gebucht (bei Überfakturierung umgekehrt als passive Abgrenzung).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Cost-to-Complete: laufende Schätzung der Restkosten – Grundlage für den Fortschritt und für die frühzeitige Erkennung drohender Verluste.</w:t>
      </w:r>
    </w:p>
    <w:p>
      <w:pPr>
        <w:pStyle w:val="Heading1"/>
        <w:spacing w:after="120" w:before="280"/>
      </w:pPr>
      <w:r>
        <w:rPr>
          <w:color w:val="1F4E78"/>
        </w:rPr>
        <w:t xml:space="preserve">2. Praxisbeispiel für biotec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Szenario (Hygiene &amp; Gebäudetechnik): Ein Klinikum beauftragt die VDI-6022-Hygieneinspektion sämtlicher raumlufttechnischer (RLT-)Anlagen über mehrere Gebäude – inklusive Probenahmen, mikrobiologischer Luft- und Trinkwasseranalysen (teils im Fremdlabor) sowie Abschlussdokumentation. Das Projekt läuft rund acht Monate zum Festpreis. Die Kosten entstehen laufend aus Inspektorenstunden, Probenahme/Reise und zugekauften Laboranalysen; fakturiert wird nach Meilensteinen (Anlagen-Blöcke). Ein klassischer Fall für POC/WIP.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Eckdaten: Auftragswert 120.000 €, geplante Gesamtkosten 90.000 € (erwartete Marge 30.000 € / 25 %).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450"/>
        <w:gridCol w:w="1450"/>
        <w:gridCol w:w="1350"/>
        <w:gridCol w:w="1250"/>
      </w:tblGrid>
      <w:tr>
        <w:trPr>
          <w:tblHeader/>
        </w:trPr>
        <w:tc>
          <w:tcPr>
            <w:tcW w:type="dxa" w:w="2000"/>
            <w:shd w:fill="1F4E78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Zeitpunkt</w:t>
            </w:r>
          </w:p>
        </w:tc>
        <w:tc>
          <w:tcPr>
            <w:tcW w:type="dxa" w:w="1500"/>
            <w:shd w:fill="1F4E78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Ist-Kosten kum.</w:t>
            </w:r>
          </w:p>
        </w:tc>
        <w:tc>
          <w:tcPr>
            <w:tcW w:type="dxa" w:w="1450"/>
            <w:shd w:fill="1F4E78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Fertig- stellung</w:t>
            </w:r>
          </w:p>
        </w:tc>
        <w:tc>
          <w:tcPr>
            <w:tcW w:type="dxa" w:w="1450"/>
            <w:shd w:fill="1F4E78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Umsatz kum. (POC)</w:t>
            </w:r>
          </w:p>
        </w:tc>
        <w:tc>
          <w:tcPr>
            <w:tcW w:type="dxa" w:w="1350"/>
            <w:shd w:fill="1F4E78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Fakturiert kum.</w:t>
            </w:r>
          </w:p>
        </w:tc>
        <w:tc>
          <w:tcPr>
            <w:tcW w:type="dxa" w:w="1250"/>
            <w:shd w:fill="1F4E78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WIP (Bilanz)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nach Monat 2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22.500 €</w:t>
            </w:r>
          </w:p>
        </w:tc>
        <w:tc>
          <w:tcPr>
            <w:tcW w:type="dxa" w:w="1450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25 %</w:t>
            </w:r>
          </w:p>
        </w:tc>
        <w:tc>
          <w:tcPr>
            <w:tcW w:type="dxa" w:w="1450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30.000 €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30.000 €</w:t>
            </w:r>
          </w:p>
        </w:tc>
        <w:tc>
          <w:tcPr>
            <w:tcW w:type="dxa" w:w="1250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0 €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nach Monat 4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45.000 €</w:t>
            </w:r>
          </w:p>
        </w:tc>
        <w:tc>
          <w:tcPr>
            <w:tcW w:type="dxa" w:w="1450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50 %</w:t>
            </w:r>
          </w:p>
        </w:tc>
        <w:tc>
          <w:tcPr>
            <w:tcW w:type="dxa" w:w="1450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60.000 €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30.000 €</w:t>
            </w:r>
          </w:p>
        </w:tc>
        <w:tc>
          <w:tcPr>
            <w:tcW w:type="dxa" w:w="1250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+30.000 €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nach Monat 6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67.500 €</w:t>
            </w:r>
          </w:p>
        </w:tc>
        <w:tc>
          <w:tcPr>
            <w:tcW w:type="dxa" w:w="1450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75 %</w:t>
            </w:r>
          </w:p>
        </w:tc>
        <w:tc>
          <w:tcPr>
            <w:tcW w:type="dxa" w:w="1450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90.000 €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60.000 €</w:t>
            </w:r>
          </w:p>
        </w:tc>
        <w:tc>
          <w:tcPr>
            <w:tcW w:type="dxa" w:w="1250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+30.000 €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nach Monat 8 (Abschluss)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90.000 €</w:t>
            </w:r>
          </w:p>
        </w:tc>
        <w:tc>
          <w:tcPr>
            <w:tcW w:type="dxa" w:w="1450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450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120.000 €</w:t>
            </w:r>
          </w:p>
        </w:tc>
        <w:tc>
          <w:tcPr>
            <w:tcW w:type="dxa" w:w="1350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120.000 €</w:t>
            </w:r>
          </w:p>
        </w:tc>
        <w:tc>
          <w:tcPr>
            <w:tcW w:type="dxa" w:w="1250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0 €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Lesart: Nach Monat 4 sind 50 % der geplanten Kosten angefallen (z. B. die erste Hälfte der RLT-Anlagen inspiziert und beprobt) → 50 % des Umsatzes (60.000 €) werden realisiert. Fakturiert wurde per Meilenstein aber erst 30.000 € → die Differenz von 30.000 € steht als unfertige Leistung (WIP) in der Bilanz. Zum Projektabschluss gleichen sich Umsatz und Fakturierung aus, WIP läuft auf 0.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Verlustfall (Beispiel): Zeigt sich im Verlauf, dass durch zusätzliche Anlagen, Nachbeprobungen oder mehr Fremdlaborkosten die Gesamtkosten auf 130.000 € steigen (&gt; 120.000 € Auftragswert), wird der drohende Verlust von 10.000 € sofort als Rückstellung gebucht – nicht erst am Projektende.</w:t>
      </w:r>
    </w:p>
    <w:p>
      <w:pPr>
        <w:pStyle w:val="Heading1"/>
        <w:spacing w:after="120" w:before="280"/>
      </w:pPr>
      <w:r>
        <w:rPr>
          <w:color w:val="1F4E78"/>
        </w:rPr>
        <w:t xml:space="preserve">3. Der Prozess (monatlicher Ablauf)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Projektleitung pflegt je Projekt Auftragswert, geplante Kosten und die aktualisierte Restkostenschätzung (Cost-to-Complete).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Ist-Kosten laufen automatisch auf das Projekt: Inspektorenstunden, Probenahme/Reise, Fremdlabor-/Analysekosten, Verbrauch.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Monatslauf berechnet Fertigstellungsgrad, zu realisierenden Umsatz, WIP und – falls nötig – die Verlustrückstellung.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Die Ergebnisse werden je Projekt und Periode dokumentiert und als Buchungs-Entwürfe bereitgestellt.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Die Buchhaltung prüft den POC-Report und die Entwürfe und bucht final – der Nachweis/Audit-Trail bleibt im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Im Folgemonat werden die WIP-Buchungen sauber aufgelöst (Reversal) und der neue Stand gebucht.</w:t>
      </w:r>
    </w:p>
    <w:p>
      <w:pPr>
        <w:pStyle w:val="Heading1"/>
        <w:spacing w:after="120" w:before="280"/>
      </w:pPr>
      <w:r>
        <w:rPr>
          <w:color w:val="1F4E78"/>
        </w:rPr>
        <w:t xml:space="preserve">4. Architektur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Empfohlener Ansatz: Odoo als führendes System für Daten, Konfiguration und finale Buchung; eine externe Python-Anwendung übernimmt die monatliche Berechnung und bereitet die Buchungen als Entwurf vor. Vorteil: volle Flexibilität bei der Rechenlogik, aber Kontrolle, Freigabe und Prüfbarkeit bleiben in Odoo.</w:t>
      </w:r>
    </w:p>
    <w:p>
      <w:pPr>
        <w:pStyle w:val="Heading2"/>
        <w:spacing w:after="80" w:before="200"/>
      </w:pPr>
      <w:r>
        <w:rPr>
          <w:color w:val="1F4E78"/>
        </w:rPr>
        <w:t xml:space="preserve">Datenfluss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Odoo → (lesen) Vertrags-/Projektdaten, Restkosten, Ist-Kosten aus der Kostenrechnung.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Python-App → rechnet Fertigstellungsgrad, Umsatz, WIP, Verlustrückstellung.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Python-App → (schreiben) POC-Periodensatz je Projekt/Monat + Buchungen als Entwurf in Odoo.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Odoo → Buchhaltung prüft und bucht final; Folgemonat: automatisches Reversal + neuer Stand.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color w:val="1F4E78"/>
        </w:rPr>
        <w:t xml:space="preserve">Wer macht was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200"/>
        <w:gridCol w:w="2200"/>
      </w:tblGrid>
      <w:tr>
        <w:trPr>
          <w:tblHeader/>
        </w:trPr>
        <w:tc>
          <w:tcPr>
            <w:tcW w:type="dxa" w:w="4600"/>
            <w:shd w:fill="1F4E78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  <w:tc>
          <w:tcPr>
            <w:tcW w:type="dxa" w:w="2200"/>
            <w:shd w:fill="1F4E78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Odoo</w:t>
            </w:r>
          </w:p>
        </w:tc>
        <w:tc>
          <w:tcPr>
            <w:tcW w:type="dxa" w:w="2200"/>
            <w:shd w:fill="1F4E78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Python-App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Vertrags-/Projektdaten, Cost-to-Complete pflegen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Ja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Ist-Kosten sammeln (Stunden/Fremdlabor/Reise)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Ja (Quelle)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liest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Fertigstellungsgrad, Umsatz, WIP, Verlust rechnen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POC-Periodensätze füllen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Speicherort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schreibt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Buchungen erzeugen (Entwurf)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Speicherort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erzeugt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Prüfen &amp; final buchen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Ja (Mensch)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Reporting / Nachweis (WIP, Marge)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Ja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Vorbereitung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color w:val="1F4E78"/>
        </w:rPr>
        <w:t xml:space="preserve">Wichtige Kontrollen der Python-App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Idempotenz: feste Referenz je Projekt+Periode (z. B. POC/Projekt/JJJJ-MM) → kein Doppelbuchen; gebuchte Belege werden nie verändert.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Storno/Reversal der WIP-Bilanzposten im Folgemonat; Delta-Buchung beim Umsatz.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Sperrdaten (Lock Dates) respektieren; Fremdwährung/Rundung korrekt behandeln.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Eigener Service-Benutzer mit eingeschränkten Rechten – ohne Recht zur Finalbuchung (das macht der Mensch).</w:t>
      </w:r>
    </w:p>
    <w:p>
      <w:pPr>
        <w:pStyle w:val="Heading1"/>
        <w:spacing w:after="120" w:before="280"/>
      </w:pPr>
      <w:r>
        <w:rPr>
          <w:color w:val="1F4E78"/>
        </w:rPr>
        <w:t xml:space="preserve">5. Einordnung Odoo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Odoo Enterprise erfasst alle nötigen Daten integriert (Auftrag → Projekt → Budget → Bestellung → Ist-Kosten → Stunden → Fremdleistungen → Abrechnung) und zeigt Projekt-Profitabilität in Echtzeit. Eine automatische bilanzielle POC-/WIP-Buchung nach Fertigstellungsgrad ist jedoch kein Standard und wird über die beschriebene Architektur ergänzt (kein natives Modul dafür).</w:t>
      </w:r>
    </w:p>
    <w:p>
      <w:pPr>
        <w:spacing w:after="100"/>
      </w:pPr>
      <w:r>
        <w:rPr>
          <w:b w:val="false"/>
          <w:bCs w:val="false"/>
          <w:i/>
          <w:iCs/>
          <w:sz w:val="21"/>
          <w:szCs w:val="21"/>
        </w:rPr>
        <w:t xml:space="preserve">Eine belastbare Aufwands- und Kostenschätzung erfolgt bewusst erst, sobald alle Ist-Anforderungen final erhoben sind.</w:t>
      </w:r>
    </w:p>
    <w:p>
      <w:pPr>
        <w:pStyle w:val="Heading1"/>
        <w:spacing w:after="120" w:before="280"/>
      </w:pPr>
      <w:r>
        <w:rPr>
          <w:color w:val="1F4E78"/>
        </w:rPr>
        <w:t xml:space="preserve">6. Empfohlene nächste Schritte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Buchhaltungs-Spezifikation festzurren: Methode (cost-to-cost), Konten, Verlustantizipation, Cut-off-Regeln.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Odoo-Datenmodell + Konten in einer Testumgebung anlegen.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Python-App zunächst als „Rechnen-only" betreiben (füllt Felder + Report, bucht noch nicht) → Zahlen validieren.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Erst danach Entwurfsbuchungen aktivieren → Buchhaltung bucht → Reversal-Mechanik testen → Rollout.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/>
          <w:iCs/>
          <w:sz w:val="21"/>
          <w:szCs w:val="21"/>
        </w:rPr>
        <w:t xml:space="preserve">Hinweis: Dieses Dokument beschreibt Konzept und Architektur; die konkrete bilanzielle Ausgestaltung ist vor Umsetzung mit Steuerberater/Wirtschaftsprüfer abzustimmen.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6" w:space="2"/>
      </w:pBdr>
      <w:spacing w:before="80"/>
    </w:pPr>
    <w:r>
      <w:rPr>
        <w:color w:val="555555"/>
        <w:sz w:val="15"/>
        <w:szCs w:val="15"/>
      </w:rPr>
      <w:t xml:space="preserve">CertoClav Sterilizer GmbH  ·  Peintner Straße 10  ·  4060 Leonding  ·  Austria</w:t>
    </w:r>
  </w:p>
  <w:p>
    <w:r>
      <w:rPr>
        <w:color w:val="555555"/>
        <w:sz w:val="15"/>
        <w:szCs w:val="15"/>
      </w:rPr>
      <w:t xml:space="preserve">Companies Register: Regional Court of Linz, FN122912d  ·  ATU22821702  ·  ARA Nr. 950  ·  WEEE Nr. DE 70266207</w:t>
    </w:r>
  </w:p>
  <w:p>
    <w:r>
      <w:rPr>
        <w:color w:val="555555"/>
        <w:sz w:val="15"/>
        <w:szCs w:val="15"/>
      </w:rPr>
      <w:t xml:space="preserve">Phone +43 (0) 732 674 278  ·  support@certoclav.com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6" w:space="2"/>
      </w:pBdr>
      <w:tabs>
        <w:tab w:val="center" w:pos="4510"/>
        <w:tab w:val="right" w:pos="9020"/>
      </w:tabs>
    </w:pPr>
    <w:r>
      <w:rPr>
        <w:color w:val="555555"/>
        <w:sz w:val="16"/>
        <w:szCs w:val="16"/>
      </w:rPr>
      <w:t xml:space="preserve">Dok.-Nr.: POC-WIP-2026-001</w:t>
    </w:r>
    <w:r>
      <w:tab/>
    </w:r>
    <w:r>
      <w:rPr>
        <w:color w:val="555555"/>
        <w:sz w:val="16"/>
        <w:szCs w:val="16"/>
      </w:rPr>
      <w:t xml:space="preserve">Datum: 10.08.2026</w:t>
    </w:r>
    <w:r>
      <w:tab/>
    </w:r>
    <w:r>
      <w:rPr>
        <w:color w:val="555555"/>
        <w:sz w:val="16"/>
        <w:szCs w:val="16"/>
      </w:rPr>
      <w:t xml:space="preserve">Umsetzungskonzept POC/WIP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2026-08-10T11:23:39.140Z</dcterms:created>
  <dcterms:modified xsi:type="dcterms:W3CDTF">2026-08-10T11:23:39.141Z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