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sz w:val="36"/>
        </w:rPr>
        <w:t>CLARK RUTTINGER</w:t>
      </w:r>
    </w:p>
    <w:p>
      <w:pPr>
        <w:spacing w:after="40"/>
        <w:jc w:val="center"/>
      </w:pPr>
      <w:r>
        <w:rPr>
          <w:b/>
          <w:sz w:val="21"/>
        </w:rPr>
        <w:t>Data &amp; Analytics Platform Leader | Workforce Analytics | R/Python/SQL | Shiny/Posit Deployment</w:t>
      </w:r>
    </w:p>
    <w:p>
      <w:pPr>
        <w:spacing w:after="40"/>
        <w:jc w:val="center"/>
      </w:pPr>
      <w:r>
        <w:rPr>
          <w:sz w:val="17"/>
        </w:rPr>
        <w:t>Park City, UT | ceruttinger@gmail.com | clarkruttinger.info | LinkedIn: linkedin.com/in/clark-ruttinger | Phone: confirm preferred number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Professional Summary</w:t>
      </w:r>
    </w:p>
    <w:p>
      <w:pPr>
        <w:pStyle w:val="Tight"/>
      </w:pPr>
      <w:r>
        <w:t>Data and analytics leader with 15+ years building reproducible data products, workforce models, dashboards, and decision-support tools for government, healthcare, and association clients. Experienced translating complex business and policy questions into data pipelines, statistical models, interactive applications, and executive-facing recommendations. Strong R/Python/SQL background with hands-on experience in Shiny, Posit Connect, cloud-hosted analytics environments, data validation, documentation, and modern data architecture patterns including DuckDB and object-storage based workflows.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Data platforms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R, Python, SQL, DuckDB, SQLite, Postgres concepts, data warehousing, ETL/ELT, data modeling, validation, documentation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Analytics products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R Shiny, Posit Connect, dashboards, interactive maps, forecasting tools, reproducible reporting, Quarto/R Markdown concepts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Cloud &amp; deployment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AWS-hosted research environments, Posit Connect administration, Git/Bitbucket workflows, modular application architecture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Leadership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Client delivery, stakeholder management, executive communication, research team supervision, cross-functional collaboration</w:t>
            </w:r>
          </w:p>
        </w:tc>
      </w:tr>
      <w:tr>
        <w:tc>
          <w:tcPr>
            <w:tcW w:type="dxa" w:w="2088"/>
          </w:tcPr>
          <w:p>
            <w:pPr>
              <w:pStyle w:val="Tight"/>
              <w:spacing w:after="0"/>
            </w:pPr>
            <w:r>
              <w:rPr>
                <w:b/>
              </w:rPr>
              <w:t>Domains</w:t>
            </w:r>
          </w:p>
        </w:tc>
        <w:tc>
          <w:tcPr>
            <w:tcW w:type="dxa" w:w="8208"/>
          </w:tcPr>
          <w:p>
            <w:pPr>
              <w:pStyle w:val="Tight"/>
              <w:spacing w:after="0"/>
            </w:pPr>
            <w:r>
              <w:t>Workforce analytics, health systems, public-sector data, education pipeline analysis, survey and administrative data integration</w:t>
            </w:r>
          </w:p>
        </w:tc>
      </w:tr>
    </w:tbl>
    <w:p>
      <w:pPr>
        <w:pStyle w:val="Heading2"/>
        <w:spacing w:before="120" w:after="40"/>
        <w:pBdr>
          <w:bottom w:val="single" w:sz="6" w:space="1" w:color="999999"/>
        </w:pBdr>
      </w:pPr>
      <w:r>
        <w:t>Professional Experience</w:t>
      </w:r>
    </w:p>
    <w:p>
      <w:pPr>
        <w:tabs>
          <w:tab w:pos="9504" w:val="left"/>
        </w:tabs>
        <w:spacing w:before="60" w:after="40"/>
      </w:pPr>
      <w:r>
        <w:rPr>
          <w:b/>
        </w:rPr>
        <w:t>Director, Health Workforce Consulting | GlobalData</w:t>
      </w:r>
      <w:r>
        <w:rPr>
          <w:i/>
        </w:rPr>
        <w:tab/>
        <w:t>Oct 2022 - May 2026</w:t>
      </w:r>
    </w:p>
    <w:p>
      <w:pPr>
        <w:pStyle w:val="ResumeBullet"/>
      </w:pPr>
      <w:r>
        <w:rPr>
          <w:b/>
        </w:rPr>
        <w:t xml:space="preserve">• </w:t>
      </w:r>
      <w:r>
        <w:t>Led complex workforce analytics engagements for state agencies, hospital associations, professional societies, and federal clients, translating analytic outputs into practical planning, policy, and investment recommendations.</w:t>
      </w:r>
    </w:p>
    <w:p>
      <w:pPr>
        <w:pStyle w:val="ResumeBullet"/>
      </w:pPr>
      <w:r>
        <w:rPr>
          <w:b/>
        </w:rPr>
        <w:t xml:space="preserve">• </w:t>
      </w:r>
      <w:r>
        <w:t>Directed annual health workforce projection updates, expanded projections to new occupations, revised behavioral health projection methods, and implemented additional validation steps that reduced client revision cycles.</w:t>
      </w:r>
    </w:p>
    <w:p>
      <w:pPr>
        <w:pStyle w:val="ResumeBullet"/>
      </w:pPr>
      <w:r>
        <w:rPr>
          <w:b/>
        </w:rPr>
        <w:t xml:space="preserve">• </w:t>
      </w:r>
      <w:r>
        <w:t>Built and maintained reusable R Shiny and dashboard components, including a standalone BLS component and unified client dashboard framework deployed through Posit Connect.</w:t>
      </w:r>
    </w:p>
    <w:p>
      <w:pPr>
        <w:pStyle w:val="ResumeBullet"/>
      </w:pPr>
      <w:r>
        <w:rPr>
          <w:b/>
        </w:rPr>
        <w:t xml:space="preserve">• </w:t>
      </w:r>
      <w:r>
        <w:t>Designed a DuckDB + S3 direct-query proof of concept to replace heavier data warehouse assumptions with a simpler, lower-friction architecture for analytic workloads.</w:t>
      </w:r>
    </w:p>
    <w:p>
      <w:pPr>
        <w:pStyle w:val="ResumeBullet"/>
      </w:pPr>
      <w:r>
        <w:rPr>
          <w:b/>
        </w:rPr>
        <w:t xml:space="preserve">• </w:t>
      </w:r>
      <w:r>
        <w:t>Developed documentation for dataset profiles, data paths, staffing generation, and annual update workflows to improve repeatability, onboarding, and handoff.</w:t>
      </w:r>
    </w:p>
    <w:p>
      <w:pPr>
        <w:pStyle w:val="ResumeBullet"/>
      </w:pPr>
      <w:r>
        <w:rPr>
          <w:b/>
        </w:rPr>
        <w:t xml:space="preserve">• </w:t>
      </w:r>
      <w:r>
        <w:t>Supported technical and analytic delivery across major client projects, including Florida nursing education and workforce reports, Hawaii nursing projections, Arkansas and Tennessee workforce reports, and professional association supply/demand studies.</w:t>
      </w:r>
    </w:p>
    <w:p>
      <w:pPr>
        <w:pStyle w:val="ResumeBullet"/>
      </w:pPr>
      <w:r>
        <w:rPr>
          <w:b/>
        </w:rPr>
        <w:t xml:space="preserve">• </w:t>
      </w:r>
      <w:r>
        <w:t>Collaborated with internal consulting, HEOR, modeling, and technical teams to scope deliverables, resolve data-quality issues, and align analyses with customer decision needs.</w:t>
      </w:r>
    </w:p>
    <w:p>
      <w:pPr>
        <w:tabs>
          <w:tab w:pos="9504" w:val="left"/>
        </w:tabs>
        <w:spacing w:before="60" w:after="40"/>
      </w:pPr>
      <w:r>
        <w:rPr>
          <w:b/>
        </w:rPr>
        <w:t>Founding Director | Utah Health Workforce Information Center</w:t>
      </w:r>
      <w:r>
        <w:rPr>
          <w:i/>
        </w:rPr>
        <w:tab/>
        <w:t>Jul 2022 - Oct 2022</w:t>
      </w:r>
    </w:p>
    <w:p>
      <w:pPr>
        <w:pStyle w:val="ResumeBullet"/>
      </w:pPr>
      <w:r>
        <w:rPr>
          <w:b/>
        </w:rPr>
        <w:t xml:space="preserve">• </w:t>
      </w:r>
      <w:r>
        <w:t>Helped establish Utah’s legislatively created Health Workforce Information Center, translating stakeholder priorities into a statewide health workforce data and policy infrastructure.</w:t>
      </w:r>
    </w:p>
    <w:p>
      <w:pPr>
        <w:pStyle w:val="ResumeBullet"/>
      </w:pPr>
      <w:r>
        <w:rPr>
          <w:b/>
        </w:rPr>
        <w:t xml:space="preserve">• </w:t>
      </w:r>
      <w:r>
        <w:t>Engaged healthcare, education, government, and employer stakeholders to improve workforce data collection, analytics, and policy guidance under the Utah Health Workforce Act.</w:t>
      </w:r>
    </w:p>
    <w:p>
      <w:pPr>
        <w:pStyle w:val="ResumeBullet"/>
      </w:pPr>
      <w:r>
        <w:rPr>
          <w:b/>
        </w:rPr>
        <w:t xml:space="preserve">• </w:t>
      </w:r>
      <w:r>
        <w:t>Served on national and state advisory groups focused on workforce data, nursing workforce strategy, hospital workforce planning, and technical assistance.</w:t>
      </w:r>
    </w:p>
    <w:p>
      <w:pPr>
        <w:tabs>
          <w:tab w:pos="9504" w:val="left"/>
        </w:tabs>
        <w:spacing w:before="60" w:after="40"/>
      </w:pPr>
      <w:r>
        <w:rPr>
          <w:b/>
        </w:rPr>
        <w:t>Interim Executive Director; Director, Workforce Research; Senior Analyst; Research Analyst | Utah Medical Education Council</w:t>
      </w:r>
      <w:r>
        <w:rPr>
          <w:i/>
        </w:rPr>
        <w:tab/>
        <w:t>Jan 2010 - Jun 2022</w:t>
      </w:r>
    </w:p>
    <w:p>
      <w:pPr>
        <w:pStyle w:val="ResumeBullet"/>
      </w:pPr>
      <w:r>
        <w:rPr>
          <w:b/>
        </w:rPr>
        <w:t xml:space="preserve">• </w:t>
      </w:r>
      <w:r>
        <w:t>Led research staff and managed statewide workforce research programs covering physicians, nurses, APRNs, dentists, pharmacists, PAs, and behavioral health professions.</w:t>
      </w:r>
    </w:p>
    <w:p>
      <w:pPr>
        <w:pStyle w:val="ResumeBullet"/>
      </w:pPr>
      <w:r>
        <w:rPr>
          <w:b/>
        </w:rPr>
        <w:t xml:space="preserve">• </w:t>
      </w:r>
      <w:r>
        <w:t>Designed and managed data cleaning, warehousing, modeling, survey, and visualization processes for statewide workforce supply, demand, distribution, and training pipeline analyses.</w:t>
      </w:r>
    </w:p>
    <w:p>
      <w:pPr>
        <w:pStyle w:val="ResumeBullet"/>
      </w:pPr>
      <w:r>
        <w:rPr>
          <w:b/>
        </w:rPr>
        <w:t xml:space="preserve">• </w:t>
      </w:r>
      <w:r>
        <w:t>Built cloud-hosted research infrastructure, R Shiny publication capacity, and a Neo4j graph database with a web interface for querying and analyzing state APCD data.</w:t>
      </w:r>
    </w:p>
    <w:p>
      <w:pPr>
        <w:pStyle w:val="ResumeBullet"/>
      </w:pPr>
      <w:r>
        <w:rPr>
          <w:b/>
        </w:rPr>
        <w:t xml:space="preserve">• </w:t>
      </w:r>
      <w:r>
        <w:t>Created methodology and data-linkage strategy for legislatively required nursing employment demand analysis; mentored analysts and improved reporting frequency and consistency.</w:t>
      </w:r>
    </w:p>
    <w:p>
      <w:pPr>
        <w:pStyle w:val="ResumeBullet"/>
      </w:pPr>
      <w:r>
        <w:rPr>
          <w:b/>
        </w:rPr>
        <w:t xml:space="preserve">• </w:t>
      </w:r>
      <w:r>
        <w:t>Authored and edited research reports, policy briefs, technical reports, and executive presentations used by legislators, educators, healthcare administrators, and national partners.</w:t>
      </w:r>
    </w:p>
    <w:p>
      <w:pPr>
        <w:tabs>
          <w:tab w:pos="9504" w:val="left"/>
        </w:tabs>
        <w:spacing w:before="60" w:after="40"/>
      </w:pPr>
      <w:r>
        <w:rPr>
          <w:b/>
        </w:rPr>
        <w:t>Earlier Public Sector and Nonprofit Roles | State of Utah; The Road Home; Wasatch Homeless Health Care; Valley Mental Health</w:t>
      </w:r>
      <w:r>
        <w:rPr>
          <w:i/>
        </w:rPr>
        <w:tab/>
        <w:t>2002 - 2015</w:t>
      </w:r>
    </w:p>
    <w:p>
      <w:pPr>
        <w:pStyle w:val="ResumeBullet"/>
      </w:pPr>
      <w:r>
        <w:rPr>
          <w:b/>
        </w:rPr>
        <w:t xml:space="preserve">• </w:t>
      </w:r>
      <w:r>
        <w:t>Built foundation in public programs, administrative hearings, grant writing, case coordination, eligibility policy, mediation, and direct service delivery.</w:t>
      </w:r>
    </w:p>
    <w:p>
      <w:pPr>
        <w:pStyle w:val="ResumeBullet"/>
      </w:pPr>
      <w:r>
        <w:rPr>
          <w:b/>
        </w:rPr>
        <w:t xml:space="preserve">• </w:t>
      </w:r>
      <w:r>
        <w:t>Used SQL interfaces, macros, and database systems to improve accuracy and efficiency in administrative and reporting workflows.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Selected Publications &amp; Public Work</w:t>
      </w:r>
    </w:p>
    <w:p>
      <w:pPr>
        <w:pStyle w:val="ResumeBullet"/>
      </w:pPr>
      <w:r>
        <w:rPr>
          <w:b/>
        </w:rPr>
        <w:t xml:space="preserve">• </w:t>
      </w:r>
      <w:r>
        <w:t>Physical Therapy: Current and Projected Future Supply and Demand for Physical Therapists, 2022-2037 (2025).</w:t>
      </w:r>
    </w:p>
    <w:p>
      <w:pPr>
        <w:pStyle w:val="ResumeBullet"/>
      </w:pPr>
      <w:r>
        <w:rPr>
          <w:b/>
        </w:rPr>
        <w:t xml:space="preserve">• </w:t>
      </w:r>
      <w:r>
        <w:t>Rural and Remote Health: Using machine learning to identify factors associated with healthcare workforce practice location (2022).</w:t>
      </w:r>
    </w:p>
    <w:p>
      <w:pPr>
        <w:pStyle w:val="ResumeBullet"/>
      </w:pPr>
      <w:r>
        <w:rPr>
          <w:b/>
        </w:rPr>
        <w:t xml:space="preserve">• </w:t>
      </w:r>
      <w:r>
        <w:t>Journal of Nursing Regulation: 2020 National Nursing Workforce Survey; built post-publication R Shiny dashboard.</w:t>
      </w:r>
    </w:p>
    <w:p>
      <w:pPr>
        <w:pStyle w:val="ResumeBullet"/>
      </w:pPr>
      <w:r>
        <w:rPr>
          <w:b/>
        </w:rPr>
        <w:t xml:space="preserve">• </w:t>
      </w:r>
      <w:r>
        <w:t>Published workforce reports and dashboards for Florida, Hawaii, Arkansas, Tennessee, Maryland, and Utah clients.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Education</w:t>
      </w:r>
    </w:p>
    <w:p>
      <w:pPr>
        <w:pStyle w:val="ResumeBullet"/>
      </w:pPr>
      <w:r>
        <w:rPr>
          <w:b/>
        </w:rPr>
        <w:t xml:space="preserve">• </w:t>
      </w:r>
      <w:r>
        <w:t>Master of Business Administration; Certificate in Information Systems, University of Utah (2017)</w:t>
      </w:r>
    </w:p>
    <w:p>
      <w:pPr>
        <w:pStyle w:val="ResumeBullet"/>
      </w:pPr>
      <w:r>
        <w:rPr>
          <w:b/>
        </w:rPr>
        <w:t xml:space="preserve">• </w:t>
      </w:r>
      <w:r>
        <w:t>Master of Public Administration, Program Evaluation and Policy Analysis emphasis, University of Utah (2007)</w:t>
      </w:r>
    </w:p>
    <w:p>
      <w:pPr>
        <w:pStyle w:val="ResumeBullet"/>
      </w:pPr>
      <w:r>
        <w:rPr>
          <w:b/>
        </w:rPr>
        <w:t xml:space="preserve">• </w:t>
      </w:r>
      <w:r>
        <w:t>B.A., Political Science; B.A., Spanish; Certificate in International Relations, University of Utah (2002)</w:t>
      </w:r>
    </w:p>
    <w:p>
      <w:pPr>
        <w:pStyle w:val="Heading2"/>
        <w:spacing w:before="120" w:after="40"/>
        <w:pBdr>
          <w:bottom w:val="single" w:sz="6" w:space="1" w:color="999999"/>
        </w:pBdr>
      </w:pPr>
      <w:r>
        <w:t>Selected Service</w:t>
      </w:r>
    </w:p>
    <w:p>
      <w:pPr>
        <w:pStyle w:val="ResumeBullet"/>
      </w:pPr>
      <w:r>
        <w:rPr>
          <w:b/>
        </w:rPr>
        <w:t xml:space="preserve">• </w:t>
      </w:r>
      <w:r>
        <w:t>Board Member and Board President, National Forum of State Nursing Workforce Centers (2018-2020).</w:t>
      </w:r>
    </w:p>
    <w:p>
      <w:pPr>
        <w:pStyle w:val="ResumeBullet"/>
      </w:pPr>
      <w:r>
        <w:rPr>
          <w:b/>
        </w:rPr>
        <w:t xml:space="preserve">• </w:t>
      </w:r>
      <w:r>
        <w:t>Grant Reviewer, U.S. Department of Health and Human Services / HRSA (2011-present).</w:t>
      </w:r>
    </w:p>
    <w:p>
      <w:pPr>
        <w:pStyle w:val="ResumeBullet"/>
      </w:pPr>
      <w:r>
        <w:rPr>
          <w:b/>
        </w:rPr>
        <w:t xml:space="preserve">• </w:t>
      </w:r>
      <w:r>
        <w:t>Planning Commissioner and Commission Chair, Salt Lake City Planning Commission (2011-2019).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ap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36"/>
      <w:ind w:left="259" w:hanging="173"/>
    </w:pPr>
    <w:rPr>
      <w:sz w:val="18"/>
    </w:rPr>
  </w:style>
  <w:style w:type="paragraph" w:customStyle="1" w:styleId="Tight">
    <w:name w:val="Tight"/>
    <w:basedOn w:val="Normal"/>
    <w:pPr>
      <w:spacing w:after="2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Ruttinger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