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/>
          <w:b/>
          <w:sz w:val="36"/>
        </w:rPr>
        <w:t>CLARK RUTTINGER</w:t>
      </w:r>
    </w:p>
    <w:p>
      <w:pPr>
        <w:spacing w:after="40"/>
        <w:jc w:val="center"/>
      </w:pPr>
      <w:r>
        <w:rPr>
          <w:b/>
          <w:sz w:val="21"/>
        </w:rPr>
        <w:t>Senior Customer Success / Data Science Platform Leader | Posit, Shiny, R/Python, Enterprise Analytics</w:t>
      </w:r>
    </w:p>
    <w:p>
      <w:pPr>
        <w:spacing w:after="40"/>
        <w:jc w:val="center"/>
      </w:pPr>
      <w:r>
        <w:rPr>
          <w:sz w:val="17"/>
        </w:rPr>
        <w:t>Park City, UT | ceruttinger@gmail.com | clarkruttinger.info | LinkedIn: linkedin.com/in/clark-ruttinger | Phone: confirm preferred number</w:t>
      </w:r>
    </w:p>
    <w:p>
      <w:pPr>
        <w:pStyle w:val="Heading2"/>
        <w:spacing w:before="120" w:after="40"/>
        <w:pBdr>
          <w:bottom w:val="single" w:sz="6" w:space="1" w:color="999999"/>
        </w:pBdr>
      </w:pPr>
      <w:r>
        <w:t>Targeted Summary</w:t>
      </w:r>
    </w:p>
    <w:p>
      <w:pPr>
        <w:pStyle w:val="Tight"/>
      </w:pPr>
      <w:r>
        <w:t>Customer-facing data and analytics leader with deep experience helping government, association, healthcare, and enterprise-style stakeholders turn complex data science investments into usable decision-support products. Combines hands-on R/Python/SQL, Shiny, Posit Connect deployment, data architecture, and modeling experience with executive communication, account-style relationship management, risk navigation, and cross-functional delivery. Particularly strong fit for technical customer success roles supporting data science teams, IT stakeholders, and regulated or complex analytic environments.</w:t>
      </w:r>
    </w:p>
    <w:p>
      <w:pPr>
        <w:pStyle w:val="Heading2"/>
        <w:spacing w:before="120" w:after="40"/>
        <w:pBdr>
          <w:bottom w:val="single" w:sz="6" w:space="1" w:color="999999"/>
        </w:pBdr>
      </w:pPr>
      <w:r>
        <w:t>Posit-Relevant Strengths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88"/>
          </w:tcPr>
          <w:p>
            <w:pPr>
              <w:pStyle w:val="Tight"/>
              <w:spacing w:after="0"/>
            </w:pPr>
            <w:r>
              <w:rPr>
                <w:b/>
              </w:rPr>
              <w:t>Customer success fit</w:t>
            </w:r>
          </w:p>
        </w:tc>
        <w:tc>
          <w:tcPr>
            <w:tcW w:type="dxa" w:w="8208"/>
          </w:tcPr>
          <w:p>
            <w:pPr>
              <w:pStyle w:val="Tight"/>
              <w:spacing w:after="0"/>
            </w:pPr>
            <w:r>
              <w:t>Trusted-advisor consulting, executive stakeholder engagement, adoption planning, issue escalation, renewal/expansion support context</w:t>
            </w:r>
          </w:p>
        </w:tc>
      </w:tr>
      <w:tr>
        <w:tc>
          <w:tcPr>
            <w:tcW w:type="dxa" w:w="2088"/>
          </w:tcPr>
          <w:p>
            <w:pPr>
              <w:pStyle w:val="Tight"/>
              <w:spacing w:after="0"/>
            </w:pPr>
            <w:r>
              <w:rPr>
                <w:b/>
              </w:rPr>
              <w:t>Posit ecosystem</w:t>
            </w:r>
          </w:p>
        </w:tc>
        <w:tc>
          <w:tcPr>
            <w:tcW w:type="dxa" w:w="8208"/>
          </w:tcPr>
          <w:p>
            <w:pPr>
              <w:pStyle w:val="Tight"/>
              <w:spacing w:after="0"/>
            </w:pPr>
            <w:r>
              <w:t>R Shiny, Posit Connect deployment/admin exposure, RStudio/Workbench user experience, R package-driven analytic workflows</w:t>
            </w:r>
          </w:p>
        </w:tc>
      </w:tr>
      <w:tr>
        <w:tc>
          <w:tcPr>
            <w:tcW w:type="dxa" w:w="2088"/>
          </w:tcPr>
          <w:p>
            <w:pPr>
              <w:pStyle w:val="Tight"/>
              <w:spacing w:after="0"/>
            </w:pPr>
            <w:r>
              <w:rPr>
                <w:b/>
              </w:rPr>
              <w:t>Data science fluency</w:t>
            </w:r>
          </w:p>
        </w:tc>
        <w:tc>
          <w:tcPr>
            <w:tcW w:type="dxa" w:w="8208"/>
          </w:tcPr>
          <w:p>
            <w:pPr>
              <w:pStyle w:val="Tight"/>
              <w:spacing w:after="0"/>
            </w:pPr>
            <w:r>
              <w:t>R, Python, SQL, forecasting, microsimulation/projection models, survey data, administrative data, reproducible reporting</w:t>
            </w:r>
          </w:p>
        </w:tc>
      </w:tr>
      <w:tr>
        <w:tc>
          <w:tcPr>
            <w:tcW w:type="dxa" w:w="2088"/>
          </w:tcPr>
          <w:p>
            <w:pPr>
              <w:pStyle w:val="Tight"/>
              <w:spacing w:after="0"/>
            </w:pPr>
            <w:r>
              <w:rPr>
                <w:b/>
              </w:rPr>
              <w:t>Technical complexity</w:t>
            </w:r>
          </w:p>
        </w:tc>
        <w:tc>
          <w:tcPr>
            <w:tcW w:type="dxa" w:w="8208"/>
          </w:tcPr>
          <w:p>
            <w:pPr>
              <w:pStyle w:val="Tight"/>
              <w:spacing w:after="0"/>
            </w:pPr>
            <w:r>
              <w:t>On-premise/cloud-aware deployment conversations, AWS research environments, DuckDB/S3 proof of concept, data quality and governance</w:t>
            </w:r>
          </w:p>
        </w:tc>
      </w:tr>
      <w:tr>
        <w:tc>
          <w:tcPr>
            <w:tcW w:type="dxa" w:w="2088"/>
          </w:tcPr>
          <w:p>
            <w:pPr>
              <w:pStyle w:val="Tight"/>
              <w:spacing w:after="0"/>
            </w:pPr>
            <w:r>
              <w:rPr>
                <w:b/>
              </w:rPr>
              <w:t>Operating style</w:t>
            </w:r>
          </w:p>
        </w:tc>
        <w:tc>
          <w:tcPr>
            <w:tcW w:type="dxa" w:w="8208"/>
          </w:tcPr>
          <w:p>
            <w:pPr>
              <w:pStyle w:val="Tight"/>
              <w:spacing w:after="0"/>
            </w:pPr>
            <w:r>
              <w:t>Clear documentation, async-friendly communication, cross-functional collaboration with modeling, consulting, product, and technical teams</w:t>
            </w:r>
          </w:p>
        </w:tc>
      </w:tr>
    </w:tbl>
    <w:p>
      <w:pPr>
        <w:pStyle w:val="Heading2"/>
        <w:spacing w:before="120" w:after="40"/>
        <w:pBdr>
          <w:bottom w:val="single" w:sz="6" w:space="1" w:color="999999"/>
        </w:pBdr>
      </w:pPr>
      <w:r>
        <w:t>Professional Experience</w:t>
      </w:r>
    </w:p>
    <w:p>
      <w:pPr>
        <w:tabs>
          <w:tab w:pos="9504" w:val="left"/>
        </w:tabs>
        <w:spacing w:before="60" w:after="40"/>
      </w:pPr>
      <w:r>
        <w:rPr>
          <w:b/>
        </w:rPr>
        <w:t>Director, Health Workforce Consulting | GlobalData</w:t>
      </w:r>
      <w:r>
        <w:rPr>
          <w:i/>
        </w:rPr>
        <w:tab/>
        <w:t>Oct 2022 - May 2026</w:t>
      </w:r>
    </w:p>
    <w:p>
      <w:pPr>
        <w:pStyle w:val="ResumeBullet"/>
      </w:pPr>
      <w:r>
        <w:rPr>
          <w:b/>
        </w:rPr>
        <w:t xml:space="preserve">• </w:t>
      </w:r>
      <w:r>
        <w:t>Owned senior-level client relationships and delivery for complex workforce analytics engagements, guiding customers from problem definition through data interpretation, deliverable adoption, and strategic use of findings.</w:t>
      </w:r>
    </w:p>
    <w:p>
      <w:pPr>
        <w:pStyle w:val="ResumeBullet"/>
      </w:pPr>
      <w:r>
        <w:rPr>
          <w:b/>
        </w:rPr>
        <w:t xml:space="preserve">• </w:t>
      </w:r>
      <w:r>
        <w:t>Acted as a trusted advisor to state agencies, hospital associations, professional societies, and internal consulting teams on how advanced analytics and dashboards could support workforce planning and data-driven decisions.</w:t>
      </w:r>
    </w:p>
    <w:p>
      <w:pPr>
        <w:pStyle w:val="ResumeBullet"/>
      </w:pPr>
      <w:r>
        <w:rPr>
          <w:b/>
        </w:rPr>
        <w:t xml:space="preserve">• </w:t>
      </w:r>
      <w:r>
        <w:t>Built and supported R Shiny dashboards and reusable analytic components deployed through Posit Connect, including a standalone BLS component and unified dashboard framework for client-facing use.</w:t>
      </w:r>
    </w:p>
    <w:p>
      <w:pPr>
        <w:pStyle w:val="ResumeBullet"/>
      </w:pPr>
      <w:r>
        <w:rPr>
          <w:b/>
        </w:rPr>
        <w:t xml:space="preserve">• </w:t>
      </w:r>
      <w:r>
        <w:t>Partnered across consulting, HEOR, modeling, technical, and client teams to resolve data, modeling, dashboard, and communication issues before they became delivery risks.</w:t>
      </w:r>
    </w:p>
    <w:p>
      <w:pPr>
        <w:pStyle w:val="ResumeBullet"/>
      </w:pPr>
      <w:r>
        <w:rPr>
          <w:b/>
        </w:rPr>
        <w:t xml:space="preserve">• </w:t>
      </w:r>
      <w:r>
        <w:t>Translated technical methods, projection assumptions, and data-quality limitations into plain-language guidance for executives, policy leaders, researchers, and operational stakeholders.</w:t>
      </w:r>
    </w:p>
    <w:p>
      <w:pPr>
        <w:pStyle w:val="ResumeBullet"/>
      </w:pPr>
      <w:r>
        <w:rPr>
          <w:b/>
        </w:rPr>
        <w:t xml:space="preserve">• </w:t>
      </w:r>
      <w:r>
        <w:t>Created durable documentation for datasets, paths, staffing generation, annual updates, validation routines, and dashboard workflows to improve transparency and account continuity.</w:t>
      </w:r>
    </w:p>
    <w:p>
      <w:pPr>
        <w:pStyle w:val="ResumeBullet"/>
      </w:pPr>
      <w:r>
        <w:rPr>
          <w:b/>
        </w:rPr>
        <w:t xml:space="preserve">• </w:t>
      </w:r>
      <w:r>
        <w:t>Advanced data platform strategy by designing a DuckDB + S3 direct-query proof of concept as a simpler alternative to a heavier data warehouse buildout.</w:t>
      </w:r>
    </w:p>
    <w:p>
      <w:pPr>
        <w:pStyle w:val="ResumeBullet"/>
      </w:pPr>
      <w:r>
        <w:rPr>
          <w:b/>
        </w:rPr>
        <w:t xml:space="preserve">• </w:t>
      </w:r>
      <w:r>
        <w:t>Supported high-visibility work products including Florida nursing education and workforce reports, Hawaii nursing projections, Arkansas/Tennessee/Maryland workforce reports, and peer-reviewed workforce modeling publications.</w:t>
      </w:r>
    </w:p>
    <w:p>
      <w:pPr>
        <w:tabs>
          <w:tab w:pos="9504" w:val="left"/>
        </w:tabs>
        <w:spacing w:before="60" w:after="40"/>
      </w:pPr>
      <w:r>
        <w:rPr>
          <w:b/>
        </w:rPr>
        <w:t>Founding Director | Utah Health Workforce Information Center</w:t>
      </w:r>
      <w:r>
        <w:rPr>
          <w:i/>
        </w:rPr>
        <w:tab/>
        <w:t>Jul 2022 - Oct 2022</w:t>
      </w:r>
    </w:p>
    <w:p>
      <w:pPr>
        <w:pStyle w:val="ResumeBullet"/>
      </w:pPr>
      <w:r>
        <w:rPr>
          <w:b/>
        </w:rPr>
        <w:t xml:space="preserve">• </w:t>
      </w:r>
      <w:r>
        <w:t>Helped launch a new statewide workforce data center created by the Utah Health Workforce Act, aligning data collection, governance, analytics, and stakeholder engagement functions.</w:t>
      </w:r>
    </w:p>
    <w:p>
      <w:pPr>
        <w:pStyle w:val="ResumeBullet"/>
      </w:pPr>
      <w:r>
        <w:rPr>
          <w:b/>
        </w:rPr>
        <w:t xml:space="preserve">• </w:t>
      </w:r>
      <w:r>
        <w:t>Built relationships across government, healthcare employers, educators, and workforce leaders to increase adoption of a shared data and policy infrastructure.</w:t>
      </w:r>
    </w:p>
    <w:p>
      <w:pPr>
        <w:pStyle w:val="ResumeBullet"/>
      </w:pPr>
      <w:r>
        <w:rPr>
          <w:b/>
        </w:rPr>
        <w:t xml:space="preserve">• </w:t>
      </w:r>
      <w:r>
        <w:t>Represented the center in advisory and technical workgroups, balancing policy needs, data feasibility, stakeholder expectations, and implementation risk.</w:t>
      </w:r>
    </w:p>
    <w:p>
      <w:pPr>
        <w:tabs>
          <w:tab w:pos="9504" w:val="left"/>
        </w:tabs>
        <w:spacing w:before="60" w:after="40"/>
      </w:pPr>
      <w:r>
        <w:rPr>
          <w:b/>
        </w:rPr>
        <w:t>Interim Executive Director; Director, Workforce Research; Senior Analyst; Research Analyst | Utah Medical Education Council</w:t>
      </w:r>
      <w:r>
        <w:rPr>
          <w:i/>
        </w:rPr>
        <w:tab/>
        <w:t>Jan 2010 - Jun 2022</w:t>
      </w:r>
    </w:p>
    <w:p>
      <w:pPr>
        <w:pStyle w:val="ResumeBullet"/>
      </w:pPr>
      <w:r>
        <w:rPr>
          <w:b/>
        </w:rPr>
        <w:t xml:space="preserve">• </w:t>
      </w:r>
      <w:r>
        <w:t>Led statewide health workforce research and analytics, supervising staff and managing end-to-end research programs from data acquisition through executive presentation.</w:t>
      </w:r>
    </w:p>
    <w:p>
      <w:pPr>
        <w:pStyle w:val="ResumeBullet"/>
      </w:pPr>
      <w:r>
        <w:rPr>
          <w:b/>
        </w:rPr>
        <w:t xml:space="preserve">• </w:t>
      </w:r>
      <w:r>
        <w:t>Designed data cleaning, warehousing, modeling, survey, and visualization workflows supporting statewide supply, demand, distribution, and training-pipeline analyses.</w:t>
      </w:r>
    </w:p>
    <w:p>
      <w:pPr>
        <w:pStyle w:val="ResumeBullet"/>
      </w:pPr>
      <w:r>
        <w:rPr>
          <w:b/>
        </w:rPr>
        <w:t xml:space="preserve">• </w:t>
      </w:r>
      <w:r>
        <w:t>Built and maintained technical infrastructure for analytics publication, including AWS-hosted research environments, R Shiny server capacity, and a Neo4j graph database web interface.</w:t>
      </w:r>
    </w:p>
    <w:p>
      <w:pPr>
        <w:pStyle w:val="ResumeBullet"/>
      </w:pPr>
      <w:r>
        <w:rPr>
          <w:b/>
        </w:rPr>
        <w:t xml:space="preserve">• </w:t>
      </w:r>
      <w:r>
        <w:t>Consulted with legislators, educators, healthcare administrators, and national partners on workforce data strategy, technical methodology, and policy implications.</w:t>
      </w:r>
    </w:p>
    <w:p>
      <w:pPr>
        <w:pStyle w:val="ResumeBullet"/>
      </w:pPr>
      <w:r>
        <w:rPr>
          <w:b/>
        </w:rPr>
        <w:t xml:space="preserve">• </w:t>
      </w:r>
      <w:r>
        <w:t>Improved reporting cadence, reproducibility, and data-linkage methods while mentoring analysts and communicating complex findings to nontechnical decision makers.</w:t>
      </w:r>
    </w:p>
    <w:p>
      <w:pPr>
        <w:tabs>
          <w:tab w:pos="9504" w:val="left"/>
        </w:tabs>
        <w:spacing w:before="60" w:after="40"/>
      </w:pPr>
      <w:r>
        <w:rPr>
          <w:b/>
        </w:rPr>
        <w:t>Earlier Public Sector and Nonprofit Roles | State of Utah; The Road Home; Wasatch Homeless Health Care; Valley Mental Health</w:t>
      </w:r>
      <w:r>
        <w:rPr>
          <w:i/>
        </w:rPr>
        <w:tab/>
        <w:t>2002 - 2015</w:t>
      </w:r>
    </w:p>
    <w:p>
      <w:pPr>
        <w:pStyle w:val="ResumeBullet"/>
      </w:pPr>
      <w:r>
        <w:rPr>
          <w:b/>
        </w:rPr>
        <w:t xml:space="preserve">• </w:t>
      </w:r>
      <w:r>
        <w:t>Developed durable customer-facing skills in public service, administrative hearings, grants, case coordination, mediation, and policy interpretation.</w:t>
      </w:r>
    </w:p>
    <w:p>
      <w:pPr>
        <w:pStyle w:val="ResumeBullet"/>
      </w:pPr>
      <w:r>
        <w:rPr>
          <w:b/>
        </w:rPr>
        <w:t xml:space="preserve">• </w:t>
      </w:r>
      <w:r>
        <w:t>Improved administrative workflows using SQL interfaces, macros, and structured data review processes.</w:t>
      </w:r>
    </w:p>
    <w:p>
      <w:pPr>
        <w:pStyle w:val="Heading2"/>
        <w:spacing w:before="120" w:after="40"/>
        <w:pBdr>
          <w:bottom w:val="single" w:sz="6" w:space="1" w:color="999999"/>
        </w:pBdr>
      </w:pPr>
      <w:r>
        <w:t>Selected Technical Projects</w:t>
      </w:r>
    </w:p>
    <w:p>
      <w:pPr>
        <w:pStyle w:val="ResumeBullet"/>
      </w:pPr>
      <w:r>
        <w:rPr>
          <w:b/>
        </w:rPr>
        <w:t xml:space="preserve">• </w:t>
      </w:r>
      <w:r>
        <w:t>Unified Shiny dashboard framework: reusable client dashboard structure with modular components and Posit Connect deployment path.</w:t>
      </w:r>
    </w:p>
    <w:p>
      <w:pPr>
        <w:pStyle w:val="ResumeBullet"/>
      </w:pPr>
      <w:r>
        <w:rPr>
          <w:b/>
        </w:rPr>
        <w:t xml:space="preserve">• </w:t>
      </w:r>
      <w:r>
        <w:t>BLS Shiny component: standalone component to support labor market and workforce analytics delivery.</w:t>
      </w:r>
    </w:p>
    <w:p>
      <w:pPr>
        <w:pStyle w:val="ResumeBullet"/>
      </w:pPr>
      <w:r>
        <w:rPr>
          <w:b/>
        </w:rPr>
        <w:t xml:space="preserve">• </w:t>
      </w:r>
      <w:r>
        <w:t>DuckDB + S3 architecture proof of concept: direct-query pattern for lower-friction analytic data access and reduced warehouse overhead.</w:t>
      </w:r>
    </w:p>
    <w:p>
      <w:pPr>
        <w:pStyle w:val="ResumeBullet"/>
      </w:pPr>
      <w:r>
        <w:rPr>
          <w:b/>
        </w:rPr>
        <w:t xml:space="preserve">• </w:t>
      </w:r>
      <w:r>
        <w:t>Healthcare workforce projection workflows: annual update process, validation checks, dataset profiles, and client-ready reporting outputs.</w:t>
      </w:r>
    </w:p>
    <w:p>
      <w:pPr>
        <w:pStyle w:val="ResumeBullet"/>
      </w:pPr>
      <w:r>
        <w:rPr>
          <w:b/>
        </w:rPr>
        <w:t xml:space="preserve">• </w:t>
      </w:r>
      <w:r>
        <w:t>Neo4j APCD query interface: graph database and browser interface deployed on a Utah government domain for state claims-data analysis.</w:t>
      </w:r>
    </w:p>
    <w:p>
      <w:pPr>
        <w:pStyle w:val="Heading2"/>
        <w:spacing w:before="120" w:after="40"/>
        <w:pBdr>
          <w:bottom w:val="single" w:sz="6" w:space="1" w:color="999999"/>
        </w:pBdr>
      </w:pPr>
      <w:r>
        <w:t>Education</w:t>
      </w:r>
    </w:p>
    <w:p>
      <w:pPr>
        <w:pStyle w:val="ResumeBullet"/>
      </w:pPr>
      <w:r>
        <w:rPr>
          <w:b/>
        </w:rPr>
        <w:t xml:space="preserve">• </w:t>
      </w:r>
      <w:r>
        <w:t>Master of Business Administration; Certificate in Information Systems, University of Utah (2017)</w:t>
      </w:r>
    </w:p>
    <w:p>
      <w:pPr>
        <w:pStyle w:val="ResumeBullet"/>
      </w:pPr>
      <w:r>
        <w:rPr>
          <w:b/>
        </w:rPr>
        <w:t xml:space="preserve">• </w:t>
      </w:r>
      <w:r>
        <w:t>Master of Public Administration, Program Evaluation and Policy Analysis emphasis, University of Utah (2007)</w:t>
      </w:r>
    </w:p>
    <w:p>
      <w:pPr>
        <w:pStyle w:val="ResumeBullet"/>
      </w:pPr>
      <w:r>
        <w:rPr>
          <w:b/>
        </w:rPr>
        <w:t xml:space="preserve">• </w:t>
      </w:r>
      <w:r>
        <w:t>B.A., Political Science; B.A., Spanish; Certificate in International Relations, University of Utah (2002)</w:t>
      </w:r>
    </w:p>
    <w:p>
      <w:pPr>
        <w:pStyle w:val="Heading2"/>
        <w:spacing w:before="120" w:after="40"/>
        <w:pBdr>
          <w:bottom w:val="single" w:sz="6" w:space="1" w:color="999999"/>
        </w:pBdr>
      </w:pPr>
      <w:r>
        <w:t>Selected Publications &amp; Public Work</w:t>
      </w:r>
    </w:p>
    <w:p>
      <w:pPr>
        <w:pStyle w:val="ResumeBullet"/>
      </w:pPr>
      <w:r>
        <w:rPr>
          <w:b/>
        </w:rPr>
        <w:t xml:space="preserve">• </w:t>
      </w:r>
      <w:r>
        <w:t>Physical Therapy: Current and Projected Future Supply and Demand for Physical Therapists, 2022-2037 (2025).</w:t>
      </w:r>
    </w:p>
    <w:p>
      <w:pPr>
        <w:pStyle w:val="ResumeBullet"/>
      </w:pPr>
      <w:r>
        <w:rPr>
          <w:b/>
        </w:rPr>
        <w:t xml:space="preserve">• </w:t>
      </w:r>
      <w:r>
        <w:t>Rural and Remote Health: Using machine learning to identify factors associated with healthcare workforce practice location (2022).</w:t>
      </w:r>
    </w:p>
    <w:p>
      <w:pPr>
        <w:pStyle w:val="ResumeBullet"/>
      </w:pPr>
      <w:r>
        <w:rPr>
          <w:b/>
        </w:rPr>
        <w:t xml:space="preserve">• </w:t>
      </w:r>
      <w:r>
        <w:t>Journal of Nursing Regulation: 2020 National Nursing Workforce Survey; built post-publication R Shiny dashboard.</w:t>
      </w:r>
    </w:p>
    <w:p>
      <w:pPr>
        <w:pStyle w:val="ResumeBullet"/>
      </w:pPr>
      <w:r>
        <w:rPr>
          <w:b/>
        </w:rPr>
        <w:t xml:space="preserve">• </w:t>
      </w:r>
      <w:r>
        <w:t>Published workforce reports and dashboards for Florida, Hawaii, Arkansas, Tennessee, Maryland, and Utah clients.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ap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36"/>
      <w:ind w:left="259" w:hanging="173"/>
    </w:pPr>
    <w:rPr>
      <w:sz w:val="18"/>
    </w:rPr>
  </w:style>
  <w:style w:type="paragraph" w:customStyle="1" w:styleId="Tight">
    <w:name w:val="Tight"/>
    <w:basedOn w:val="Normal"/>
    <w:pPr>
      <w:spacing w:after="2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Ruttinger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