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AF" w:rsidRPr="00AB55AF" w:rsidRDefault="00AB55AF" w:rsidP="00AB55AF">
      <w:pPr>
        <w:shd w:val="clear" w:color="auto" w:fill="FFFFFF"/>
        <w:spacing w:after="120"/>
        <w:rPr>
          <w:rFonts w:ascii="Times New Roman" w:hAnsi="Times New Roman" w:cs="Times New Roman"/>
          <w:b/>
          <w:bCs/>
          <w:color w:val="222222"/>
          <w:sz w:val="40"/>
          <w:szCs w:val="23"/>
        </w:rPr>
      </w:pP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40"/>
          <w:szCs w:val="23"/>
        </w:rPr>
        <w:t>Frankenstein</w:t>
      </w:r>
      <w:proofErr w:type="spellEnd"/>
    </w:p>
    <w:p w:rsidR="00AB55AF" w:rsidRDefault="00AB55AF" w:rsidP="00AB55AF">
      <w:pPr>
        <w:shd w:val="clear" w:color="auto" w:fill="FFFFFF"/>
        <w:spacing w:after="120"/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Téma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pomsta / nebezpečí bezhlavé honby za věděním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Motivy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pomsta, příroda, monstrum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Časoprostor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odehrává se roku "</w:t>
      </w:r>
      <w:proofErr w:type="gram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17.." (ve</w:t>
      </w:r>
      <w:proofErr w:type="gram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Waltonově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deníku jsou i data, ovšem přesný rok není nikdy uveden) na různých místech (zejména Švýcarsko, Německo, Spojené království, polární oblasti)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Kompoziční výstavba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chronologický a retrospektivní postup, členěno na kapitoly (první část i na dopisy), dále odstavce a věty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Literární druh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epika, </w:t>
      </w: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literární žánr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raný vědeckofantastický/gotický/hororový/romantický román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Vypravěč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ich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-forma, vypráví buď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Walton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nebo netvor – personální vypravěč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Postavy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Viktor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– inteligentní člověk, který si však není vždy zcela schopen uvědomit následky svých činů. Současně je i poněkud asociální, raději než lidskou společnost vyhledává přírodu. Netvorovy činy v něm vyvolají silnou touhu po pomstě.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Netvor – též velmi inteligentní. Zpočátku je dobrý a laskavý, po opakovaných projevech nenávisti ze strany lidí se však stane nenávistným a propadá záchvatům zuřivosti. Je dosti asertivní a výřečný, čímž dokáže na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dočasně přesvědčit ke spolupráci. Po jeho smrti začne litovat svých zločinů a svého chování vůči svému stvořiteli, a proto se rozhodne spáchat sebevraždu.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Henry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Clereval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– upřímný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Frankensteinův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přítel, který se o něj staral během nemoci. S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Frankensteinem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sdílí i lásku k přírodě.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Alžběta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Lavenzová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– milá a laskavá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Robert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Walton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- dobrodruh bažící po vědění stejně jako kdysi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</w:t>
      </w:r>
      <w:proofErr w:type="spellEnd"/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Vyprávěcí techniky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užíváno pásmo vypravěče i přímá řeč (dialogy)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Jazykové prostředky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- spisovný jazyk</w:t>
      </w: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Kontext autorčiny tvorby a informace o autorce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1797-1851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Anglická spisovatelka v období romantismu, autorka gotických románů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Narodila se v Londýně do rodiny feministické učitelky a spisovatelky Mary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Wollstonecraftové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a filosofa a romanopisce Williama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Godwina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. Matka zemřela 11 dní po porodu, byla vychovávána otcem a nevlastní matkou. 1814 se blíže seznámila s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Percym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Bysshem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Shelleym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, se kterým udržovala milostný poměr až do sebevraždy jeho ženy v roce 1816, kdy s ním uzavřela sňatek.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byl údajně sepsán na popud Lorda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Byrona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, který při cestě se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Shelleyovými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do Švýcarska navrhl, aby se pokusili sepsat hororový příběh. Po sepsání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pobývala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Shelleyová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v Itálii, odkud se však po smrti svého manžela vrátila do Anglie, kde dožila.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Frankensteinovi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se nevyrovnalo žádné další její dílo, jediným významnějším dílem je </w:t>
      </w: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Poslední člověk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- apokalyptický román pojednávající o životě hlavního hrdiny v budoucí Anglii, kde je 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lastRenderedPageBreak/>
        <w:t>zřízena republika. Po osobních tragédiích hlavního hrdiny je svět zasažen morovou pandemií. Dílo výrazně ovlivnilo pozdější anglickou science fiction</w:t>
      </w:r>
    </w:p>
    <w:p w:rsidR="00AB55AF" w:rsidRPr="00AB55AF" w:rsidRDefault="00AB55AF" w:rsidP="00AB55AF">
      <w:pPr>
        <w:shd w:val="clear" w:color="auto" w:fill="FFFFFF"/>
        <w:spacing w:after="120"/>
        <w:rPr>
          <w:rFonts w:ascii="Times New Roman" w:hAnsi="Times New Roman" w:cs="Times New Roman"/>
          <w:b/>
          <w:bCs/>
          <w:color w:val="222222"/>
          <w:sz w:val="23"/>
          <w:szCs w:val="23"/>
        </w:rPr>
      </w:pPr>
    </w:p>
    <w:p w:rsidR="006B1389" w:rsidRPr="00AB55AF" w:rsidRDefault="006B1389" w:rsidP="00AB55AF">
      <w:pPr>
        <w:shd w:val="clear" w:color="auto" w:fill="FFFFFF"/>
        <w:spacing w:after="1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Literární a obecně kulturní kontext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Základním prvkem romantismu je deziluze – zklamání z nenaplnění ideálů osvícenství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Romantici se upínají ke gotice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Konec 18. st. až 1.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pol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>. 19. st.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4 principy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Touha po nepřítomném – potřeba úniku – únik v čase a prostoru – orientace na středověk, antiku apod. orientace na exotické krajiny – Amerika, Tichomoří apod., touha po ideálním společenském řádu a také bezcílná touha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Vypjatý individualismus (osobitost) – hlavní hrdina často osamělý, nerad se stýká s lidmi a prchá do přírody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Zobrazení jevů v polaritě – hlavní hrdinové romantických příběhů např. i loupežníci nebo psanci, také vnější a vnitřní rozdíly – vnější ošklivost, ale uvnitř výtečné vlastnosti, lyrickoepické žánry – balada (lyrika, epika i drama) – původ žánrů v lidovém prostředí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Intenzivní citovost – zaměření se na pocity postav, vzniká horor a detektivní příběh, zalíbení v tajemnu apod.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Zaměření se na iracionalitu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Hrdinové romantických děl vědí, že svět nelze změnit, z čehož pramení jistá melancholie, pesimismus, zklamání a skepse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Časté je použití dramatického prostředí – hory za bouře, zříceniny, polární </w:t>
      </w:r>
      <w:proofErr w:type="gram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krajiny...</w:t>
      </w:r>
      <w:proofErr w:type="gramEnd"/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Oblíbené žánry – lyrická balada, poema, básnická povídka, moderní epos, román ve verších, dramatická báseň, historický román a povídka</w:t>
      </w:r>
    </w:p>
    <w:p w:rsidR="006B1389" w:rsidRPr="00AB55AF" w:rsidRDefault="006B1389" w:rsidP="00AB55AF">
      <w:pPr>
        <w:numPr>
          <w:ilvl w:val="1"/>
          <w:numId w:val="6"/>
        </w:numPr>
        <w:shd w:val="clear" w:color="auto" w:fill="FFFFFF"/>
        <w:spacing w:after="120"/>
        <w:ind w:left="768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Významní / související autoři romantismu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Ann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Radcliffová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(Spojené království, 1764-1823)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Autorka gotického románu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 xml:space="preserve">Záhady </w:t>
      </w: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Udolfa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- příběh o dívce Emily, která se po smrti svých rodičů přestěhuje k necitelné tetě a nakonec je okradena lupičem žijícím na hradě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Udolfo</w:t>
      </w:r>
      <w:proofErr w:type="spellEnd"/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Ernst Theodor </w:t>
      </w: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Willhelm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Hoffmann (Německo, 1776-1822)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Romány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Ďáblovy elixíry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o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Metardovi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>, který vypije ďáblův elixír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Louskáček a myší král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o dívce, která dostane na Štědrý večer dřevěného panáčka –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louskáčka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. Její bratr s ním ale začne louskat ořechy a poškodí jej. Dívka nakonec usne pod vánočním stromkem a zdá se jí, jak louskáček oživne a spolu s ostatními hračkami porazí zlého Myšího krále, poté se promění v krásného prince a dívku provede kouzelnou zemí. Známé baletní zpracování od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Čajkovského</w:t>
      </w:r>
      <w:proofErr w:type="spellEnd"/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lastRenderedPageBreak/>
        <w:t xml:space="preserve">Slečna se </w:t>
      </w: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Scuderie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zlatník vyrábí šperky a vždy, když si od něj někdo nějaký koupí, zlatník ho zabije a vezme si šperk zpátky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Povídky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Zlatý hrnec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prolínání reálného a fantastického světa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Mistr Blecha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Hoffmanem označena za nejpodivnější z pohádek. Opět prolínání nadpřirozeného s přirozených. Příběh je vyprávěn cyklicky – pouze se mění postava, z </w:t>
      </w:r>
      <w:proofErr w:type="gram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jejíž</w:t>
      </w:r>
      <w:proofErr w:type="gram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hlediska je příběh vyprávěn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Martin, mistr bednářský, a jeho tovaryši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Pískoun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Nathanael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má trauma z brutálních příběhů o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Pískounovi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Nathanael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nejprve ztotožňuje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Pískouna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s advokátem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Coppeliem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, později s optikem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Coppela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. Poté se zamiluje do Olympie – loutky, kterou vyrobil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Coppelius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(tato loutka je však všeobecně dlouho považována za živou).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Coppelius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nakonec Olympii zničí a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Nathanael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propadá záchvatům šílenství. Žije však přesto šťastně se svou ženou Klárou, dokud nevystoupí na věž, kde znovu spatří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Coppelia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>. Po tomto setkání se pokusí zabít Kláru, sám nakonec spáchá sebevraždu.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George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Gordon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Byron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(Spojené království, 1788-1824)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color w:val="222222"/>
          <w:sz w:val="23"/>
          <w:szCs w:val="23"/>
        </w:rPr>
        <w:t>Významný autor poem (básnických povídek)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 xml:space="preserve">Vězeň </w:t>
      </w: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chillonský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báseň o bratrech, kteří jsou z politických důvodů vězněni a postupně umírají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Lara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příběh mladého šlechtice, který bojuje za svobodu nevolníků a nakonec umírá</w:t>
      </w:r>
    </w:p>
    <w:p w:rsidR="006B1389" w:rsidRPr="00AB55AF" w:rsidRDefault="006B1389" w:rsidP="00AB55AF">
      <w:pPr>
        <w:numPr>
          <w:ilvl w:val="4"/>
          <w:numId w:val="6"/>
        </w:numPr>
        <w:shd w:val="clear" w:color="auto" w:fill="FFFFFF"/>
        <w:spacing w:after="120"/>
        <w:ind w:left="1920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Džaur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příběh mnicha, který pomstil smrt své milenky a poté odešel do kláštera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Manfréd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veršované filozofické drama, hlavní hrdina Manfréd zaviní smrt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Astarté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a snaží se zbavit pocitu viny. To se mu však nedaří ani v přírodě, ani s pomocí kosmických duchů, nepomůže mu ani opat kláštera.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Childe</w:t>
      </w:r>
      <w:proofErr w:type="spellEnd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Haroldova</w:t>
      </w:r>
      <w:proofErr w:type="spellEnd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 xml:space="preserve"> pouť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> – rozsáhlá lyricko-epická skladba o čtyřech zpěvech líčící putování hlavního hrdiny po různých zemích. Skladba začíná jako satira na rytířské romány a dále pokračuje jako básníkův deník.</w:t>
      </w:r>
    </w:p>
    <w:p w:rsidR="006B1389" w:rsidRPr="00AB55AF" w:rsidRDefault="006B1389" w:rsidP="00AB55AF">
      <w:pPr>
        <w:numPr>
          <w:ilvl w:val="2"/>
          <w:numId w:val="6"/>
        </w:numPr>
        <w:shd w:val="clear" w:color="auto" w:fill="FFFFFF"/>
        <w:spacing w:after="120"/>
        <w:ind w:left="1152"/>
        <w:rPr>
          <w:rFonts w:ascii="Times New Roman" w:hAnsi="Times New Roman" w:cs="Times New Roman"/>
          <w:color w:val="222222"/>
          <w:sz w:val="23"/>
          <w:szCs w:val="23"/>
        </w:rPr>
      </w:pP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Percy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Bysshe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>Shelley</w:t>
      </w:r>
      <w:proofErr w:type="spellEnd"/>
      <w:r w:rsidRPr="00AB55AF">
        <w:rPr>
          <w:rFonts w:ascii="Times New Roman" w:hAnsi="Times New Roman" w:cs="Times New Roman"/>
          <w:b/>
          <w:bCs/>
          <w:color w:val="222222"/>
          <w:sz w:val="23"/>
          <w:szCs w:val="23"/>
        </w:rPr>
        <w:t xml:space="preserve"> (Spojené království, 1792-1822)</w:t>
      </w:r>
    </w:p>
    <w:p w:rsidR="006B1389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 xml:space="preserve">Odpoutaný </w:t>
      </w:r>
      <w:proofErr w:type="spellStart"/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Prometheus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filozofické drama, zpracování báje o Prométheovi, který lidem přinesl oheň, a byl za to Diem potrestán. V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Shelleyově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díle se na rozdíl od antické báje Prométheus nepodvolí, nýbrž vytrvá až do Diova svržení. Uplatňuje se zde titanismus,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Shelley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v díle vyjadřuje své představy o lidské svobodě a o vítězství dobra nad zlem.</w:t>
      </w:r>
    </w:p>
    <w:p w:rsidR="000B16F7" w:rsidRPr="00AB55AF" w:rsidRDefault="006B1389" w:rsidP="00AB55AF">
      <w:pPr>
        <w:numPr>
          <w:ilvl w:val="3"/>
          <w:numId w:val="6"/>
        </w:numPr>
        <w:shd w:val="clear" w:color="auto" w:fill="FFFFFF"/>
        <w:spacing w:after="120"/>
        <w:ind w:left="1536"/>
        <w:rPr>
          <w:rFonts w:ascii="Times New Roman" w:hAnsi="Times New Roman" w:cs="Times New Roman"/>
          <w:color w:val="222222"/>
          <w:sz w:val="23"/>
          <w:szCs w:val="23"/>
        </w:rPr>
      </w:pPr>
      <w:r w:rsidRPr="00AB55AF">
        <w:rPr>
          <w:rFonts w:ascii="Times New Roman" w:hAnsi="Times New Roman" w:cs="Times New Roman"/>
          <w:i/>
          <w:iCs/>
          <w:color w:val="222222"/>
          <w:sz w:val="23"/>
          <w:szCs w:val="23"/>
        </w:rPr>
        <w:t>Óda na západní vítr</w:t>
      </w:r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 – jedna ze </w:t>
      </w:r>
      <w:proofErr w:type="spellStart"/>
      <w:r w:rsidRPr="00AB55AF">
        <w:rPr>
          <w:rFonts w:ascii="Times New Roman" w:hAnsi="Times New Roman" w:cs="Times New Roman"/>
          <w:color w:val="222222"/>
          <w:sz w:val="23"/>
          <w:szCs w:val="23"/>
        </w:rPr>
        <w:t>Shelleyových</w:t>
      </w:r>
      <w:proofErr w:type="spellEnd"/>
      <w:r w:rsidRPr="00AB55AF">
        <w:rPr>
          <w:rFonts w:ascii="Times New Roman" w:hAnsi="Times New Roman" w:cs="Times New Roman"/>
          <w:color w:val="222222"/>
          <w:sz w:val="23"/>
          <w:szCs w:val="23"/>
        </w:rPr>
        <w:t xml:space="preserve"> nejznámějších básní líčící rozbouřenou přírodu jako symbol svobody a nespoutanosti</w:t>
      </w:r>
    </w:p>
    <w:sectPr w:rsidR="000B16F7" w:rsidRPr="00AB55AF" w:rsidSect="00AB55AF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227D0"/>
    <w:multiLevelType w:val="multilevel"/>
    <w:tmpl w:val="131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44049"/>
    <w:multiLevelType w:val="multilevel"/>
    <w:tmpl w:val="FE8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05D2"/>
    <w:rsid w:val="000909D8"/>
    <w:rsid w:val="000B16F7"/>
    <w:rsid w:val="001454F7"/>
    <w:rsid w:val="00150C9F"/>
    <w:rsid w:val="001A154D"/>
    <w:rsid w:val="00212E8B"/>
    <w:rsid w:val="00250D71"/>
    <w:rsid w:val="00291FB9"/>
    <w:rsid w:val="004442D3"/>
    <w:rsid w:val="00462695"/>
    <w:rsid w:val="004D5BE1"/>
    <w:rsid w:val="005916F7"/>
    <w:rsid w:val="00601335"/>
    <w:rsid w:val="00613D20"/>
    <w:rsid w:val="006B1389"/>
    <w:rsid w:val="007505D2"/>
    <w:rsid w:val="007D2F38"/>
    <w:rsid w:val="008277EB"/>
    <w:rsid w:val="0087248F"/>
    <w:rsid w:val="00896B24"/>
    <w:rsid w:val="0097274A"/>
    <w:rsid w:val="009974AD"/>
    <w:rsid w:val="00A56273"/>
    <w:rsid w:val="00A565DB"/>
    <w:rsid w:val="00AB55AF"/>
    <w:rsid w:val="00B12360"/>
    <w:rsid w:val="00B31451"/>
    <w:rsid w:val="00B6630D"/>
    <w:rsid w:val="00BB2B70"/>
    <w:rsid w:val="00BB6357"/>
    <w:rsid w:val="00CC19E5"/>
    <w:rsid w:val="00D426CD"/>
    <w:rsid w:val="00D46C4D"/>
    <w:rsid w:val="00DD121B"/>
    <w:rsid w:val="00DE464E"/>
    <w:rsid w:val="00DE5EAF"/>
    <w:rsid w:val="00EA29B5"/>
    <w:rsid w:val="00F51DEA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Standardnpsmoodstavce"/>
    <w:rsid w:val="006B1389"/>
  </w:style>
  <w:style w:type="character" w:customStyle="1" w:styleId="mw-editsection">
    <w:name w:val="mw-editsection"/>
    <w:basedOn w:val="Standardnpsmoodstavce"/>
    <w:rsid w:val="006B1389"/>
  </w:style>
  <w:style w:type="character" w:customStyle="1" w:styleId="mw-editsection-bracket">
    <w:name w:val="mw-editsection-bracket"/>
    <w:basedOn w:val="Standardnpsmoodstavce"/>
    <w:rsid w:val="006B1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1008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8</cp:revision>
  <dcterms:created xsi:type="dcterms:W3CDTF">2020-06-05T10:28:00Z</dcterms:created>
  <dcterms:modified xsi:type="dcterms:W3CDTF">2020-06-09T15:23:00Z</dcterms:modified>
</cp:coreProperties>
</file>