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10091"/>
      </w:tblGrid>
      <w:tr>
        <w:tc>
          <w:tcPr>
            <w:tcW w:type="dxa" w:w="10091"/>
            <w:shd w:fill="BFBFBF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40" w:before="40" w:line="30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pacing w:val="60"/>
                <w:sz w:val="34"/>
                <w:szCs w:val="34"/>
              </w:rPr>
              <w:t xml:space="preserve">프로그램(운영) 견 적 서</w:t>
            </w:r>
          </w:p>
        </w:tc>
      </w:tr>
    </w:tbl>
    <w:p>
      <w:pPr>
        <w:spacing w:after="60"/>
      </w:pPr>
    </w:p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4700"/>
        <w:gridCol w:w="1900"/>
        <w:gridCol w:w="3491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수    신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(재)고양산업진흥원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견적일자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2026. 08. 25.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참    조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K-하이테크 플랫폼 지원단</w:t>
            </w:r>
          </w:p>
        </w:tc>
        <w:tc>
          <w:tcPr>
            <w:tcW w:type="dxa" w:w="5391"/>
            <w:gridSpan w:val="2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공  급  자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과    업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2026년 한국항공대학교 바이브 코딩 기반 학생창업 경진대회 및 창업 특강 운영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사업자 등록번호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209-88-03446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유효기간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발행일로부터 30일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상        호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(주)리본마켓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과업기간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계약일 ~ 2026. 11. 6.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대  표  자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김  기  훈    </w:t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지급방법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계산서 발행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주        소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경기도 평택시 이충로 49-29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행사장소</w:t>
            </w: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 : 한국항공대학교 대강당 및 스타트업 라운지</w:t>
            </w:r>
          </w:p>
        </w:tc>
        <w:tc>
          <w:tcPr>
            <w:tcW w:type="dxa" w:w="19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담  당  자</w:t>
            </w:r>
          </w:p>
        </w:tc>
        <w:tc>
          <w:tcPr>
            <w:tcW w:type="dxa" w:w="34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최은성   010-5843-0627</w:t>
            </w:r>
          </w:p>
        </w:tc>
      </w:tr>
    </w:tbl>
    <w:p>
      <w:pPr>
        <w:spacing w:after="140"/>
      </w:pPr>
    </w:p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4700"/>
        <w:gridCol w:w="5391"/>
      </w:tblGrid>
      <w:tr>
        <w:tc>
          <w:tcPr>
            <w:tcW w:type="dxa" w:w="4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24"/>
                <w:szCs w:val="24"/>
              </w:rPr>
              <w:t xml:space="preserve">견적합계 (VAT)포함</w:t>
            </w:r>
          </w:p>
        </w:tc>
        <w:tc>
          <w:tcPr>
            <w:tcW w:type="dxa" w:w="53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26"/>
                <w:szCs w:val="26"/>
              </w:rPr>
              <w:t xml:space="preserve">11,000,000</w:t>
            </w:r>
          </w:p>
        </w:tc>
      </w:tr>
    </w:tbl>
    <w:p>
      <w:pPr>
        <w:spacing w:after="60"/>
      </w:pPr>
    </w:p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1150"/>
        <w:gridCol w:w="620"/>
        <w:gridCol w:w="1700"/>
        <w:gridCol w:w="380"/>
        <w:gridCol w:w="380"/>
        <w:gridCol w:w="1180"/>
        <w:gridCol w:w="380"/>
        <w:gridCol w:w="380"/>
        <w:gridCol w:w="1330"/>
        <w:gridCol w:w="2591"/>
      </w:tblGrid>
      <w:tr>
        <w:tc>
          <w:tcPr>
            <w:tcW w:type="dxa" w:w="3470"/>
            <w:gridSpan w:val="3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4640"/>
            <w:gridSpan w:val="6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예산 (원)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행사구분</w:t>
            </w:r>
          </w:p>
        </w:tc>
        <w:tc>
          <w:tcPr>
            <w:tcW w:type="dxa" w:w="62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연번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개별항목</w:t>
            </w:r>
          </w:p>
        </w:tc>
        <w:tc>
          <w:tcPr>
            <w:tcW w:type="dxa" w:w="760"/>
            <w:gridSpan w:val="2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단위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단가</w:t>
            </w:r>
          </w:p>
        </w:tc>
        <w:tc>
          <w:tcPr>
            <w:tcW w:type="dxa" w:w="1560"/>
            <w:gridSpan w:val="2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수량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150"/>
            <w:vMerge w:val="restart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프로그램 예산</w:t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1-1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창업 특강 강사비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회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250,000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강사수당 지급기준 나급 · 2시간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1-2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1:1 창업 멘토링비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팀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1,500,000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10.8 멘토링 · 팀당 60분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1-3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예선 서류 평가료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인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10.15 내/외부 심사위원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1-4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결승 심사수당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500,000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인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1,500,000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10.22 현직 VC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1-5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시상금 및 부상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-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팀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2,500,000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대상 100만 / 최우수 50만 / 우수 30만 / 장려 10만×7팀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1-6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AI 코딩 도구 이용료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인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인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1,500,000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멘토링 10개 팀 · 팀당 3인 기준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1-7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홍보 및 인쇄비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850,000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회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850,000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포스터 · 현수막 · 자료집 · 상장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1-8</w:t>
            </w:r>
          </w:p>
        </w:tc>
        <w:tc>
          <w:tcPr>
            <w:tcW w:type="dxa" w:w="17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행사 운영비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11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700,000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38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회</w:t>
            </w:r>
          </w:p>
        </w:tc>
        <w:tc>
          <w:tcPr>
            <w:tcW w:type="dxa" w:w="133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700,000</w:t>
            </w:r>
          </w:p>
        </w:tc>
        <w:tc>
          <w:tcPr>
            <w:tcW w:type="dxa" w:w="259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5"/>
                <w:szCs w:val="15"/>
              </w:rPr>
              <w:t xml:space="preserve">특강 다과 · 결승 식대 · 소모품</w:t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5020"/>
            <w:gridSpan w:val="7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Sub Total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9,100,000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vMerge w:val="restart"/>
            <w:shd w:fill="DCE6F1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최종 제안가</w:t>
            </w:r>
          </w:p>
        </w:tc>
        <w:tc>
          <w:tcPr>
            <w:tcW w:type="dxa" w:w="5020"/>
            <w:gridSpan w:val="7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프로그램 대행비 (일반관리비 4.0% + 이윤 5.66%)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900,000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5020"/>
            <w:gridSpan w:val="7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견적 합계 (VAT 제외)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10,000,000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5020"/>
            <w:gridSpan w:val="7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부가가치세</w:t>
            </w:r>
          </w:p>
        </w:tc>
        <w:tc>
          <w:tcPr>
            <w:tcW w:type="dxa" w:w="17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1,000,000</w:t>
            </w:r>
          </w:p>
        </w:tc>
        <w:tc>
          <w:tcPr>
            <w:tcW w:type="dxa" w:w="38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5020"/>
            <w:gridSpan w:val="7"/>
            <w:shd w:fill="DCE6F1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용역합계 (VAT 포함)</w:t>
            </w:r>
          </w:p>
        </w:tc>
        <w:tc>
          <w:tcPr>
            <w:tcW w:type="dxa" w:w="1700"/>
            <w:shd w:fill="DCE6F1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11,000,000</w:t>
            </w:r>
          </w:p>
        </w:tc>
        <w:tc>
          <w:tcPr>
            <w:tcW w:type="dxa" w:w="380"/>
            <w:shd w:fill="DCE6F1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16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※ 산출 근거는 별첨 「원가계산서」(총괄표·인건비·일반경비·강사수당 지급기준)를 따르며, 강사비는 발주처 「강사수당 지급기준」 나급을 적용하였다. 본 견적은 협의용이며 과업 내용 변경 시 금액이 조정될 수 있다.</w:t>
      </w:r>
    </w:p>
    <w:p>
      <w:r>
        <w:br w:type="page"/>
      </w:r>
    </w:p>
    <w:p>
      <w:pPr>
        <w:spacing w:after="80" w:before="0" w:line="280"/>
        <w:jc w:val="center"/>
      </w:pPr>
      <w:r>
        <w:rPr>
          <w:rFonts w:ascii="맑은 고딕" w:cs="맑은 고딕" w:eastAsia="맑은 고딕" w:hAnsi="맑은 고딕" w:hint="eastAsia"/>
          <w:b/>
          <w:bCs/>
          <w:spacing w:val="50"/>
          <w:sz w:val="30"/>
          <w:szCs w:val="30"/>
        </w:rPr>
        <w:t xml:space="preserve">[ 별지 ]  강사수당 지급기준</w:t>
      </w:r>
    </w:p>
    <w:p>
      <w:pPr>
        <w:pBdr>
          <w:bottom w:val="single" w:color="000000" w:sz="12" w:space="0"/>
        </w:pBdr>
        <w:spacing w:after="160"/>
      </w:pPr>
    </w:p>
    <w:p>
      <w:pPr>
        <w:spacing w:after="140" w:before="0" w:line="280"/>
      </w:pPr>
      <w:r>
        <w:rPr>
          <w:rFonts w:ascii="맑은 고딕" w:cs="맑은 고딕" w:eastAsia="맑은 고딕" w:hAnsi="맑은 고딕" w:hint="eastAsia"/>
          <w:sz w:val="17"/>
          <w:szCs w:val="17"/>
        </w:rPr>
        <w:t xml:space="preserve">발주처 「3. 강사수당 지급기준 — 가. 일반강의 강사수당」</w:t>
      </w:r>
    </w:p>
    <w:tbl>
      <w:tblPr>
        <w:tblW w:type="dxa" w:w="10091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808080" w:sz="4"/>
          <w:insideV w:val="single" w:color="808080" w:sz="4"/>
        </w:tblBorders>
      </w:tblPr>
      <w:tblGrid>
        <w:gridCol w:w="820"/>
        <w:gridCol w:w="3500"/>
        <w:gridCol w:w="2300"/>
        <w:gridCol w:w="950"/>
        <w:gridCol w:w="950"/>
        <w:gridCol w:w="1571"/>
      </w:tblGrid>
      <w:tr>
        <w:tc>
          <w:tcPr>
            <w:tcW w:type="dxa" w:w="82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등급</w:t>
            </w:r>
          </w:p>
        </w:tc>
        <w:tc>
          <w:tcPr>
            <w:tcW w:type="dxa" w:w="35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적용대상 (일반)</w:t>
            </w:r>
          </w:p>
        </w:tc>
        <w:tc>
          <w:tcPr>
            <w:tcW w:type="dxa" w:w="230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적용대상 (공직자 등)</w:t>
            </w:r>
          </w:p>
        </w:tc>
        <w:tc>
          <w:tcPr>
            <w:tcW w:type="dxa" w:w="95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최초 1시간</w:t>
            </w:r>
          </w:p>
        </w:tc>
        <w:tc>
          <w:tcPr>
            <w:tcW w:type="dxa" w:w="950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초과 매시간</w:t>
            </w:r>
          </w:p>
        </w:tc>
        <w:tc>
          <w:tcPr>
            <w:tcW w:type="dxa" w:w="1571"/>
            <w:shd w:fill="D9D9D9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2시간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특1급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전직 장관(급) 및 광역자치단체장, 전직 국회의원, 전직 한국은행장, 전직 대학의 총장(이사장), 대기업 총수(부회장 이상)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장관(급)*, 광역자치단체장*, 국회의원*, 한국은행장*, 대학의 총장(이사장)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400,000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700,000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특2급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전직 차관(급) 및 기초자치단체장, 전직 공직유관단체장, 전직 전문대학 등의 총장(이사장), 대기업 임원, 중견기업 대표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차관(급), 기초자치단체장, 공직유관단체장, 전문대학 등의 총장(이사장), 대형언론사 총수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200,000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500,000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가급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전직 4급 이상 공무원, 전직 지방의회의원(의장 포함), 전직 공직유관단체 임원, 전직 대학의 교수(조교수 이상), 유명 예술인·종교인, 대기업 부장(급)·중견기업 임원·중소기업 대표, 전문직 3년 이상 실무경력자, 박사학위 취득 후 해당분야 3년 이상 실무경력자, 국가대표 지도자 및 국가대표 출신 강사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4급 이상 공무원, 지방의회의원(의장 포함), 공직유관단체 임원, 대학의 교수(조교수 이상), 초·중·고교의 장(이사장), 대형언론사 임원, 기타언론사 대표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280,000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120,000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400,000</w:t>
            </w:r>
          </w:p>
        </w:tc>
      </w:tr>
      <w:tr>
        <w:tc>
          <w:tcPr>
            <w:tcW w:type="dxa" w:w="82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나급</w:t>
            </w:r>
          </w:p>
        </w:tc>
        <w:tc>
          <w:tcPr>
            <w:tcW w:type="dxa" w:w="350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4"/>
                <w:szCs w:val="14"/>
              </w:rPr>
              <w:t xml:space="preserve">전직 5급(상당) 공무원, 중견기업 부장(급)·중소기업 임원, 원어민 어학 강사(외국국적을 가진 자로서 해당 국가에서 고등교육을 이수한 자), 국가전문자격증을 가진 자로서 3년 이상 실무경력자, 기타 전문자격을 가진 자로서 5년 이상 실무경력자</w:t>
            </w:r>
          </w:p>
        </w:tc>
        <w:tc>
          <w:tcPr>
            <w:tcW w:type="dxa" w:w="230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4"/>
                <w:szCs w:val="14"/>
              </w:rPr>
              <w:t xml:space="preserve">5급 이하 공무원, 공직유관단체 직원, 대학의 강사 등(교직원 포함), 초·중·고교의 교직원, 기타언론사 임원</w:t>
            </w:r>
          </w:p>
        </w:tc>
        <w:tc>
          <w:tcPr>
            <w:tcW w:type="dxa" w:w="95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170,000</w:t>
            </w:r>
          </w:p>
        </w:tc>
        <w:tc>
          <w:tcPr>
            <w:tcW w:type="dxa" w:w="950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80,000</w:t>
            </w:r>
          </w:p>
        </w:tc>
        <w:tc>
          <w:tcPr>
            <w:tcW w:type="dxa" w:w="1571"/>
            <w:shd w:fill="FFF2CC" w:color="auto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250,000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다급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전직 6급 이하 공무원, 외국어·전산 등 강사, 체육·레크리에이션 등 취미·소양 강사로서 해당분야 3년 이상(공공기관·공공교육훈련기관 경력) 또는 5년 이상(외부경력 포함) 강의 경력자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100,000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150,000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라급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체육, 레크리에이션 등 취미·소양 강사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80,000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40,000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W w:type="dxa" w:w="82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마급</w:t>
            </w:r>
          </w:p>
        </w:tc>
        <w:tc>
          <w:tcPr>
            <w:tcW w:type="dxa" w:w="35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4"/>
                <w:szCs w:val="14"/>
              </w:rPr>
              <w:t xml:space="preserve">각종 교육운영(실기실습 등) 보조자</w:t>
            </w:r>
          </w:p>
        </w:tc>
        <w:tc>
          <w:tcPr>
            <w:tcW w:type="dxa" w:w="230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60,000</w:t>
            </w:r>
          </w:p>
        </w:tc>
        <w:tc>
          <w:tcPr>
            <w:tcW w:type="dxa" w:w="950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30,000</w:t>
            </w:r>
          </w:p>
        </w:tc>
        <w:tc>
          <w:tcPr>
            <w:tcW w:type="dxa" w:w="1571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90,000</w:t>
            </w:r>
          </w:p>
        </w:tc>
      </w:tr>
    </w:tbl>
    <w:p>
      <w:pPr>
        <w:spacing w:after="40" w:before="18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1. 전문직 : 감정평가사, 건축사, 공인노무사, 공인회계사, 관세사, 기술사, 법무사, 변리사, 변호사, 보험계리사, 세무사, 약사, 의사</w:t>
      </w:r>
    </w:p>
    <w:p>
      <w:pPr>
        <w:spacing w:after="40" w:before="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2. 특1급 초과 매시간은 300,000원이나, * 표시된 청탁금지법 적용 대상(공직자 등)은 200,000원을 적용한다.</w:t>
      </w:r>
    </w:p>
    <w:p>
      <w:pPr>
        <w:spacing w:after="40" w:before="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3. 본 견적의 창업 특강(2시간)은 나급을 적용하여 170,000원 + 80,000원 = 250,000원으로 계상하였다.</w:t>
      </w:r>
    </w:p>
    <w:p>
      <w:pPr>
        <w:spacing w:after="40" w:before="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4. 2025년 용역도 동일하게 나급을 적용하였다 (4시간 410,000원 / 3시간 330,000원).</w:t>
      </w:r>
    </w:p>
    <w:p>
      <w:pPr>
        <w:spacing w:after="90" w:before="0" w:line="280"/>
      </w:pPr>
      <w:r>
        <w:rPr>
          <w:rFonts w:ascii="맑은 고딕" w:cs="맑은 고딕" w:eastAsia="맑은 고딕" w:hAnsi="맑은 고딕" w:hint="eastAsia"/>
          <w:color w:val="767676"/>
          <w:sz w:val="15"/>
          <w:szCs w:val="15"/>
        </w:rPr>
        <w:t xml:space="preserve">5. 강사가 중소기업 대표 등 가급 요건에 해당하면 2시간 400,000원까지 적용할 수 있다.</w:t>
      </w:r>
    </w:p>
    <w:sectPr>
      <w:pgSz w:w="11906" w:h="16838" w:orient="portrait"/>
      <w:pgMar w:top="793" w:right="907" w:bottom="68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 w:hint="eastAsia"/>
        <w:sz w:val="18"/>
        <w:szCs w:val="18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3bef9cc421e2379e0780a9cd932b1784c2a1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2026-09-16T02:17:27.903Z</dcterms:created>
  <dcterms:modified xsi:type="dcterms:W3CDTF">2026-09-16T02:17:27.903Z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