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-99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DIREC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Sr(a). Diretor(a),</w:t>
      </w:r>
    </w:p>
    <w:p>
      <w:pPr>
        <w:spacing w:before="0" w:after="0" w:line="240"/>
        <w:ind w:right="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-99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Baseado nas informações do presente processo, após a notificação obrigatória exclusivamente pelo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Domicílio Eletrônico do Cidadão Paulistano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 abaixo transcrita:</w:t>
      </w:r>
    </w:p>
    <w:p>
      <w:pPr>
        <w:spacing w:before="0" w:after="0" w:line="240"/>
        <w:ind w:right="0" w:left="-99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-99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Manifesta-se pela conclusão deste expediente analisado e pelo arquivamento.</w:t>
      </w:r>
    </w:p>
    <w:p>
      <w:pPr>
        <w:spacing w:before="0" w:after="0" w:line="240"/>
        <w:ind w:right="0" w:left="-993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center" w:pos="4819" w:leader="none"/>
          <w:tab w:val="left" w:pos="6750" w:leader="none"/>
        </w:tabs>
        <w:spacing w:before="0" w:after="0" w:line="240"/>
        <w:ind w:right="0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DIREC, em  2 de outubro de 2020.</w:t>
        <w:tab/>
      </w: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Cesar André Kotchetkoff</w:t>
      </w: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AFTM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RF 756.455-4</w:t>
      </w: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sistema de login</w:t>
      </w: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99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adicione sua idade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